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B79F8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</w:t>
      </w:r>
      <w:r w:rsidR="003B79F8" w:rsidRPr="003B79F8">
        <w:rPr>
          <w:rFonts w:ascii="Arial" w:hAnsi="Arial"/>
          <w:b/>
          <w:bCs/>
          <w:sz w:val="26"/>
          <w:szCs w:val="26"/>
          <w:lang w:val="ru-RU"/>
        </w:rPr>
        <w:t>являющихся объектами местного значения, необходимых для технологического присоединения объекта капитального строительства к сетям инженерно-технологического обеспечения (электроснабжение дома животновода)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  <w:proofErr w:type="gramEnd"/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proofErr w:type="spellStart"/>
      <w:r w:rsidR="003B79F8" w:rsidRPr="003B79F8">
        <w:rPr>
          <w:rFonts w:ascii="Arial" w:hAnsi="Arial"/>
          <w:b/>
          <w:sz w:val="26"/>
          <w:szCs w:val="26"/>
          <w:lang w:val="ru-RU"/>
        </w:rPr>
        <w:t>Волгорадской</w:t>
      </w:r>
      <w:proofErr w:type="spellEnd"/>
      <w:r w:rsidR="003B79F8" w:rsidRPr="003B79F8">
        <w:rPr>
          <w:rFonts w:ascii="Arial" w:hAnsi="Arial"/>
          <w:b/>
          <w:sz w:val="26"/>
          <w:szCs w:val="26"/>
          <w:lang w:val="ru-RU"/>
        </w:rPr>
        <w:t xml:space="preserve"> области, Светлоярский район, </w:t>
      </w:r>
      <w:proofErr w:type="spellStart"/>
      <w:r w:rsidR="003B79F8" w:rsidRPr="003B79F8">
        <w:rPr>
          <w:rFonts w:ascii="Arial" w:hAnsi="Arial"/>
          <w:b/>
          <w:sz w:val="26"/>
          <w:szCs w:val="26"/>
          <w:lang w:val="ru-RU"/>
        </w:rPr>
        <w:t>с</w:t>
      </w:r>
      <w:proofErr w:type="gramStart"/>
      <w:r w:rsidR="003B79F8" w:rsidRPr="003B79F8">
        <w:rPr>
          <w:rFonts w:ascii="Arial" w:hAnsi="Arial"/>
          <w:b/>
          <w:sz w:val="26"/>
          <w:szCs w:val="26"/>
          <w:lang w:val="ru-RU"/>
        </w:rPr>
        <w:t>.Б</w:t>
      </w:r>
      <w:proofErr w:type="gramEnd"/>
      <w:r w:rsidR="003B79F8" w:rsidRPr="003B79F8">
        <w:rPr>
          <w:rFonts w:ascii="Arial" w:hAnsi="Arial"/>
          <w:b/>
          <w:sz w:val="26"/>
          <w:szCs w:val="26"/>
          <w:lang w:val="ru-RU"/>
        </w:rPr>
        <w:t>ольшие</w:t>
      </w:r>
      <w:proofErr w:type="spellEnd"/>
      <w:r w:rsidR="003B79F8" w:rsidRPr="003B79F8">
        <w:rPr>
          <w:rFonts w:ascii="Arial" w:hAnsi="Arial"/>
          <w:b/>
          <w:sz w:val="26"/>
          <w:szCs w:val="26"/>
          <w:lang w:val="ru-RU"/>
        </w:rPr>
        <w:t xml:space="preserve"> Чапурники примерно в 2,5км от ориентира по направлению на северо-восток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301FB2" w:rsidRDefault="00D30D8C" w:rsidP="0078525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B79F8">
        <w:rPr>
          <w:rFonts w:ascii="Arial" w:hAnsi="Arial"/>
          <w:b/>
          <w:bCs/>
          <w:sz w:val="26"/>
          <w:szCs w:val="26"/>
          <w:lang w:val="ru-RU"/>
        </w:rPr>
        <w:t>061102:58</w:t>
      </w:r>
      <w:r w:rsidR="00301FB2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A37790" w:rsidRPr="00A37790" w:rsidRDefault="00A37790" w:rsidP="00785251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r w:rsidRPr="00A37790">
        <w:rPr>
          <w:rFonts w:ascii="Arial" w:hAnsi="Arial"/>
          <w:bCs/>
          <w:sz w:val="26"/>
          <w:szCs w:val="26"/>
          <w:lang w:val="ru-RU"/>
        </w:rPr>
        <w:t>Срок публичного сервитута – 49 лет.</w:t>
      </w:r>
    </w:p>
    <w:bookmarkEnd w:id="0"/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3B79F8" w:rsidRPr="003B79F8" w:rsidRDefault="003B79F8" w:rsidP="003B79F8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3B79F8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3B79F8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3B79F8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3B79F8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</w:t>
      </w:r>
      <w:proofErr w:type="spellStart"/>
      <w:r w:rsidR="003B79F8">
        <w:rPr>
          <w:rFonts w:ascii="Arial" w:hAnsi="Arial"/>
          <w:b/>
          <w:bCs/>
          <w:sz w:val="26"/>
          <w:szCs w:val="26"/>
          <w:lang w:val="ru-RU"/>
        </w:rPr>
        <w:t>Россети</w:t>
      </w:r>
      <w:proofErr w:type="spellEnd"/>
      <w:r w:rsidR="003B79F8">
        <w:rPr>
          <w:rFonts w:ascii="Arial" w:hAnsi="Arial"/>
          <w:b/>
          <w:bCs/>
          <w:sz w:val="26"/>
          <w:szCs w:val="26"/>
          <w:lang w:val="ru-RU"/>
        </w:rPr>
        <w:t xml:space="preserve"> Юг»- «Волгоградэнерго», 400066, Волгоградская область, г. Волгоград, пр. Ленина, дом 15, тел. 8 -909-381-41-31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0605D"/>
    <w:rsid w:val="000B79BD"/>
    <w:rsid w:val="000D08A0"/>
    <w:rsid w:val="001257B8"/>
    <w:rsid w:val="00234D3F"/>
    <w:rsid w:val="00252213"/>
    <w:rsid w:val="00301FB2"/>
    <w:rsid w:val="00324E7F"/>
    <w:rsid w:val="00335795"/>
    <w:rsid w:val="003B6EE6"/>
    <w:rsid w:val="003B79F8"/>
    <w:rsid w:val="004428D7"/>
    <w:rsid w:val="006B2858"/>
    <w:rsid w:val="00785251"/>
    <w:rsid w:val="00805FEE"/>
    <w:rsid w:val="008E72CA"/>
    <w:rsid w:val="00942D7E"/>
    <w:rsid w:val="00A37790"/>
    <w:rsid w:val="00AB0F5C"/>
    <w:rsid w:val="00B25F18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2020-07-07T11:11:00Z</dcterms:created>
  <dcterms:modified xsi:type="dcterms:W3CDTF">2022-02-14T12:19:00Z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