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904"/>
        <w:gridCol w:w="6317"/>
      </w:tblGrid>
      <w:tr w:rsidR="0044196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4429" w:wrap="none" w:vAnchor="page" w:hAnchor="page" w:x="1175" w:y="710"/>
              <w:rPr>
                <w:sz w:val="10"/>
                <w:szCs w:val="10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Ходатайство об установлении публичного сервитута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left="20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Администрация Светлоярского муниципального района Волгоградской области (наименование органа, принимающего решение об установлении публичного сервитута)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left="20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after="60" w:line="200" w:lineRule="exact"/>
              <w:ind w:left="320" w:firstLine="0"/>
            </w:pPr>
            <w:r>
              <w:rPr>
                <w:rStyle w:val="22"/>
              </w:rPr>
              <w:t xml:space="preserve">Сведения о лице, представившем ходатайство об </w:t>
            </w:r>
            <w:r>
              <w:rPr>
                <w:rStyle w:val="22"/>
              </w:rPr>
              <w:t>установлении публичного сервитута</w:t>
            </w:r>
          </w:p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before="60" w:line="200" w:lineRule="exact"/>
              <w:ind w:left="2660" w:firstLine="0"/>
            </w:pPr>
            <w:r>
              <w:rPr>
                <w:rStyle w:val="22"/>
              </w:rPr>
              <w:t>(дал ее-зая вител ь):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2.1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Полное наименование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4" w:lineRule="exact"/>
              <w:ind w:firstLine="0"/>
            </w:pPr>
            <w:r>
              <w:rPr>
                <w:rStyle w:val="22"/>
              </w:rPr>
              <w:t>Общество с ограниченной ответственностью «Газпром газификация»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2.2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>Сокращенное наименование (при наличии)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ООО «Газпром газификация»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2.3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after="60" w:line="200" w:lineRule="exact"/>
              <w:ind w:left="280" w:firstLine="0"/>
            </w:pPr>
            <w:r>
              <w:rPr>
                <w:rStyle w:val="22"/>
              </w:rPr>
              <w:t>Организационно-правовая</w:t>
            </w:r>
          </w:p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2"/>
              </w:rPr>
              <w:t>форма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Общество с ограниченной ответственностью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2.4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2"/>
              </w:rPr>
              <w:t>194044, г. Санкт-Петербург, вн. тер. г. Муниципальный округ Сампсониевское, пр-кт Большой Сампсониевский, д. 60, литера А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2.5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2"/>
              </w:rPr>
              <w:t>Адрес электронной почты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  <w:lang w:val="en-US" w:eastAsia="en-US" w:bidi="en-US"/>
              </w:rPr>
              <w:t>info@,eoggazprom</w:t>
            </w:r>
            <w:r>
              <w:rPr>
                <w:rStyle w:val="22"/>
              </w:rPr>
              <w:t xml:space="preserve">. </w:t>
            </w:r>
            <w:r>
              <w:rPr>
                <w:rStyle w:val="22"/>
                <w:lang w:val="en-US" w:eastAsia="en-US" w:bidi="en-US"/>
              </w:rPr>
              <w:t>ru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2.6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ОГРН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1217800107744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2.7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ИНН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7813655197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left="20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left="2260" w:firstLine="0"/>
            </w:pPr>
            <w:r>
              <w:rPr>
                <w:rStyle w:val="22"/>
              </w:rPr>
              <w:t>Сведения о представителе заявителя: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3.1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Фамилия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Космылев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44196A">
            <w:pPr>
              <w:framePr w:w="9710" w:h="14429" w:wrap="none" w:vAnchor="page" w:hAnchor="page" w:x="1175" w:y="71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Имя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Игорь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44196A">
            <w:pPr>
              <w:framePr w:w="9710" w:h="14429" w:wrap="none" w:vAnchor="page" w:hAnchor="page" w:x="1175" w:y="71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Отчество (при наличии)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Юрьевич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3.2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>Адрес электронной почты (при наличии)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hyperlink r:id="rId8" w:history="1">
              <w:r>
                <w:rPr>
                  <w:rStyle w:val="a3"/>
                  <w:lang w:val="en-US" w:eastAsia="en-US" w:bidi="en-US"/>
                </w:rPr>
                <w:t>A.Pozdnyakova@eoggazprom.ru</w:t>
              </w:r>
            </w:hyperlink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3.3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Телефон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+7 (812)613-33-00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>3.4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2"/>
              </w:rPr>
              <w:t xml:space="preserve">Доверенность от 17.05.2023 удостоверена Маретиной Анастасией </w:t>
            </w:r>
            <w:r>
              <w:rPr>
                <w:rStyle w:val="22"/>
              </w:rPr>
              <w:t>Егоровной, временно исполняющей обязанности нотариуса нотариального округа Санкт-Петербурга Маретина Егора Юрьевича, зарегистрирована в реестре за № 78/162-н/78-2023-6- 241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left="20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2"/>
              </w:rPr>
              <w:t xml:space="preserve">Прошу установить публичный сервитут в отношении земель и земельных участков в </w:t>
            </w:r>
            <w:r>
              <w:rPr>
                <w:rStyle w:val="22"/>
              </w:rPr>
              <w:t xml:space="preserve">целях строительства и эксплуатации линейного объекта «Газопровод межпоселковый от с.Червлёное до п.Прудовый Светлоярского района Волгоградской области» в соответствии с пунктом 1 статьи 39.37 Земельного кодекса Российской Федерации от 25 октября 2001 г. № </w:t>
            </w:r>
            <w:r>
              <w:rPr>
                <w:rStyle w:val="22"/>
              </w:rPr>
              <w:t>136-ФЗ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left="20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2"/>
              </w:rPr>
              <w:t>Испрашиваемый срок публичного сервитута: 10 лет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left="20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2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r>
              <w:rPr>
                <w:rStyle w:val="22"/>
              </w:rPr>
              <w:t>подпунктом 4 пункта 1 статьи 39.41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(при возникновении таких обстоятельств) - 5 ме</w:t>
            </w:r>
            <w:r>
              <w:rPr>
                <w:rStyle w:val="22"/>
              </w:rPr>
              <w:t>сяцев (общий срок строительства).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21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00" w:lineRule="exact"/>
              <w:ind w:left="200" w:firstLine="0"/>
            </w:pPr>
            <w:r>
              <w:rPr>
                <w:rStyle w:val="22"/>
              </w:rPr>
              <w:t>7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6A" w:rsidRDefault="00E9503B">
            <w:pPr>
              <w:pStyle w:val="20"/>
              <w:framePr w:w="9710" w:h="14429" w:wrap="none" w:vAnchor="page" w:hAnchor="page" w:x="1175" w:y="710"/>
              <w:shd w:val="clear" w:color="auto" w:fill="auto"/>
              <w:spacing w:line="254" w:lineRule="exact"/>
              <w:ind w:left="320" w:firstLine="0"/>
            </w:pPr>
            <w:r>
              <w:rPr>
                <w:rStyle w:val="22"/>
              </w:rPr>
              <w:t>Обоснование необходимости установления публичного сервитута:</w:t>
            </w:r>
          </w:p>
          <w:p w:rsidR="0044196A" w:rsidRDefault="00E9503B">
            <w:pPr>
              <w:pStyle w:val="20"/>
              <w:framePr w:w="9710" w:h="14429" w:wrap="none" w:vAnchor="page" w:hAnchor="page" w:x="1175" w:y="710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54" w:lineRule="exact"/>
              <w:ind w:firstLine="0"/>
            </w:pPr>
            <w:r>
              <w:rPr>
                <w:rStyle w:val="22"/>
              </w:rPr>
              <w:t>Программа развития газоснабжения и газификации Волгоградской области на период 2021-2025 годы;</w:t>
            </w:r>
          </w:p>
          <w:p w:rsidR="0044196A" w:rsidRDefault="00E9503B">
            <w:pPr>
              <w:pStyle w:val="20"/>
              <w:framePr w:w="9710" w:h="14429" w:wrap="none" w:vAnchor="page" w:hAnchor="page" w:x="1175" w:y="710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254" w:lineRule="exact"/>
              <w:ind w:firstLine="0"/>
              <w:jc w:val="both"/>
            </w:pPr>
            <w:r>
              <w:rPr>
                <w:rStyle w:val="22"/>
              </w:rPr>
              <w:t xml:space="preserve">Соглашение о взаимном сотрудничестве и Договоры по газификации </w:t>
            </w:r>
            <w:r>
              <w:rPr>
                <w:rStyle w:val="22"/>
              </w:rPr>
              <w:t>между администрациями регионов РФ и ПАО «Газпром», предусматривающие осуществление программы газификации в регионе;</w:t>
            </w:r>
          </w:p>
          <w:p w:rsidR="0044196A" w:rsidRDefault="00E9503B">
            <w:pPr>
              <w:pStyle w:val="20"/>
              <w:framePr w:w="9710" w:h="14429" w:wrap="none" w:vAnchor="page" w:hAnchor="page" w:x="1175" w:y="71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54" w:lineRule="exact"/>
              <w:ind w:firstLine="0"/>
              <w:jc w:val="both"/>
            </w:pPr>
            <w:r>
              <w:rPr>
                <w:rStyle w:val="22"/>
              </w:rPr>
              <w:t>Концепция участия ПАО «Газпром» в газификации регионов РФ, утвержденная Постановлением Правления ОАО «Газпром» 30.11.2009 № 57;</w:t>
            </w:r>
          </w:p>
        </w:tc>
      </w:tr>
    </w:tbl>
    <w:p w:rsidR="0044196A" w:rsidRDefault="0044196A">
      <w:pPr>
        <w:rPr>
          <w:sz w:val="2"/>
          <w:szCs w:val="2"/>
        </w:rPr>
        <w:sectPr w:rsidR="00441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885"/>
        <w:gridCol w:w="2232"/>
        <w:gridCol w:w="4099"/>
      </w:tblGrid>
      <w:tr w:rsidR="0044196A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left="220" w:firstLine="0"/>
            </w:pPr>
            <w:r>
              <w:rPr>
                <w:rStyle w:val="22"/>
              </w:rPr>
              <w:lastRenderedPageBreak/>
              <w:t>7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460"/>
              <w:jc w:val="both"/>
            </w:pPr>
            <w:r>
              <w:rPr>
                <w:rStyle w:val="22"/>
              </w:rPr>
              <w:t>Распоряжение Правительства РФ от 15 декабря 2021 г. № 3603-р Об определении ООО «Газпром газификация» единым оператором газификации, подтверждающее право подачи ходатайства об установлении публичного сервитута.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41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left="220" w:firstLine="0"/>
            </w:pPr>
            <w:r>
              <w:rPr>
                <w:rStyle w:val="22"/>
              </w:rPr>
              <w:t>8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2"/>
              </w:rPr>
              <w:t xml:space="preserve">Сведения о </w:t>
            </w:r>
            <w:r>
              <w:rPr>
                <w:rStyle w:val="22"/>
              </w:rPr>
              <w:t>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 объектом, реконструкция, капитальный ремонт</w:t>
            </w:r>
            <w:r>
              <w:rPr>
                <w:rStyle w:val="22"/>
              </w:rPr>
              <w:t xml:space="preserve"> которого 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объектов капитального строительства, в случае, если заявитель не является правообладателем ук</w:t>
            </w:r>
            <w:r>
              <w:rPr>
                <w:rStyle w:val="22"/>
              </w:rPr>
              <w:t>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</w:t>
            </w:r>
            <w:r>
              <w:rPr>
                <w:rStyle w:val="22"/>
              </w:rPr>
              <w:t>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государственных или муниципальных нужд, а также если ходатайство об установлении</w:t>
            </w:r>
            <w:r>
              <w:rPr>
                <w:rStyle w:val="22"/>
              </w:rPr>
              <w:t xml:space="preserve">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линейным объектом, реконструкции, капитального ремонта его участков (частей): не требуется к заполнению</w:t>
            </w:r>
            <w:r>
              <w:rPr>
                <w:rStyle w:val="22"/>
              </w:rPr>
              <w:t>.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>Кадастровые номера земельных участков (при их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34:26:021101:572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>обл. Волгоградская, р-н Светлоярский, у юго-восточной границы п. Прудовый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2"/>
              </w:rPr>
              <w:t>наличии), в отношении которых подано ходатайство об установлении публичного сервитута, адреса или иное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left="340" w:firstLine="0"/>
            </w:pPr>
            <w:r>
              <w:rPr>
                <w:rStyle w:val="22"/>
              </w:rPr>
              <w:t>34:26:000000:2506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2"/>
              </w:rPr>
              <w:t>обл. Волгоградская, р-н Светлоярский, в административных границах Наримановского сельского поселения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>описание местоположения таких земельных участков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34:26:030102:590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left="260" w:firstLine="0"/>
            </w:pPr>
            <w:r>
              <w:rPr>
                <w:rStyle w:val="22"/>
              </w:rPr>
              <w:t>обл. Волгоградская, р-н Светлоярский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34:26:030102:588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 xml:space="preserve">обл. </w:t>
            </w:r>
            <w:r>
              <w:rPr>
                <w:rStyle w:val="22"/>
              </w:rPr>
              <w:t>Волгоградская, р-н Светлоярский, с.Червленое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34:26:030102:587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2"/>
              </w:rPr>
              <w:t>обл. Волгоградская, р-н Светлоярский, с.Червленое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34:26:030102:341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2"/>
              </w:rPr>
              <w:t>Волгоградская область, Светлоярский район, в 6 км на юго-запад от с. Червленое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left="220" w:firstLine="0"/>
            </w:pPr>
            <w:r>
              <w:rPr>
                <w:rStyle w:val="22"/>
              </w:rPr>
              <w:t>9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34:26:030102:667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 xml:space="preserve">Волгоградская </w:t>
            </w:r>
            <w:r>
              <w:rPr>
                <w:rStyle w:val="22"/>
              </w:rPr>
              <w:t>область, Светлоярский район, в 6 км на юго-запад от с. Червленое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left="340" w:firstLine="0"/>
            </w:pPr>
            <w:r>
              <w:rPr>
                <w:rStyle w:val="22"/>
              </w:rPr>
              <w:t>34:26:000000:2458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2"/>
              </w:rPr>
              <w:t>обл. Волгоградская, р-н Светлоярский, с. Червленое, участок расположен в административных границах Червленовского сельского поселения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left="340" w:firstLine="0"/>
            </w:pPr>
            <w:r>
              <w:rPr>
                <w:rStyle w:val="22"/>
              </w:rPr>
              <w:t>34:26:000000:2560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</w:pPr>
            <w:r>
              <w:rPr>
                <w:rStyle w:val="22"/>
              </w:rPr>
              <w:t xml:space="preserve">Волгоградская </w:t>
            </w:r>
            <w:r>
              <w:rPr>
                <w:rStyle w:val="22"/>
              </w:rPr>
              <w:t>область, р-н Светлоярский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34:26:000000:34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</w:pPr>
            <w:r>
              <w:rPr>
                <w:rStyle w:val="22"/>
              </w:rPr>
              <w:t>Волгоградская обл., Светлоярский р-н, Волгоградское лесничество, Городищенское участковое лесничество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34:26:030102:679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</w:pPr>
            <w:r>
              <w:rPr>
                <w:rStyle w:val="22"/>
              </w:rPr>
              <w:t xml:space="preserve">Волгоградская обл., Светлоярский р-н, участок расположен примерно в 6,5 км юго-западнее </w:t>
            </w:r>
            <w:r>
              <w:rPr>
                <w:rStyle w:val="22"/>
              </w:rPr>
              <w:t>с. Червленое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34:26:021301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</w:pPr>
            <w:r>
              <w:rPr>
                <w:rStyle w:val="22"/>
              </w:rPr>
              <w:t>Волгоградская область, Светлоярский район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96A" w:rsidRDefault="0044196A">
            <w:pPr>
              <w:framePr w:w="9710" w:h="15830" w:wrap="none" w:vAnchor="page" w:hAnchor="page" w:x="1175" w:y="42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34:26:021101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9710" w:h="15830" w:wrap="none" w:vAnchor="page" w:hAnchor="page" w:x="1175" w:y="422"/>
              <w:shd w:val="clear" w:color="auto" w:fill="auto"/>
              <w:spacing w:line="254" w:lineRule="exact"/>
              <w:ind w:firstLine="0"/>
            </w:pPr>
            <w:r>
              <w:rPr>
                <w:rStyle w:val="22"/>
              </w:rPr>
              <w:t>Волгоградская область, Светлоярский район</w:t>
            </w:r>
          </w:p>
        </w:tc>
      </w:tr>
    </w:tbl>
    <w:p w:rsidR="0044196A" w:rsidRDefault="0044196A">
      <w:pPr>
        <w:rPr>
          <w:sz w:val="2"/>
          <w:szCs w:val="2"/>
        </w:rPr>
        <w:sectPr w:rsidR="00441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4070"/>
      </w:tblGrid>
      <w:tr w:rsidR="0044196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6302" w:h="1171" w:wrap="none" w:vAnchor="page" w:hAnchor="page" w:x="4597" w:y="45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34:26:030102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6302" w:h="1171" w:wrap="none" w:vAnchor="page" w:hAnchor="page" w:x="4597" w:y="451"/>
              <w:shd w:val="clear" w:color="auto" w:fill="auto"/>
              <w:spacing w:line="254" w:lineRule="exact"/>
              <w:ind w:firstLine="0"/>
            </w:pPr>
            <w:r>
              <w:rPr>
                <w:rStyle w:val="22"/>
              </w:rPr>
              <w:t>Волгоградская область, Светлоярский район</w:t>
            </w:r>
          </w:p>
        </w:tc>
      </w:tr>
      <w:tr w:rsidR="0044196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6A" w:rsidRDefault="00E9503B">
            <w:pPr>
              <w:pStyle w:val="20"/>
              <w:framePr w:w="6302" w:h="1171" w:wrap="none" w:vAnchor="page" w:hAnchor="page" w:x="4597" w:y="45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34:26:030501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96A" w:rsidRDefault="00E9503B">
            <w:pPr>
              <w:pStyle w:val="20"/>
              <w:framePr w:w="6302" w:h="1171" w:wrap="none" w:vAnchor="page" w:hAnchor="page" w:x="4597" w:y="451"/>
              <w:shd w:val="clear" w:color="auto" w:fill="auto"/>
              <w:spacing w:line="254" w:lineRule="exact"/>
              <w:ind w:firstLine="0"/>
            </w:pPr>
            <w:r>
              <w:rPr>
                <w:rStyle w:val="22"/>
              </w:rPr>
              <w:t>Волгоградская область, Светлоярский</w:t>
            </w:r>
            <w:r>
              <w:rPr>
                <w:rStyle w:val="22"/>
              </w:rPr>
              <w:t xml:space="preserve"> район</w:t>
            </w:r>
          </w:p>
        </w:tc>
      </w:tr>
    </w:tbl>
    <w:p w:rsidR="0044196A" w:rsidRDefault="00E9503B">
      <w:pPr>
        <w:pStyle w:val="30"/>
        <w:framePr w:wrap="none" w:vAnchor="page" w:hAnchor="page" w:x="1304" w:y="2149"/>
        <w:shd w:val="clear" w:color="auto" w:fill="auto"/>
        <w:spacing w:line="200" w:lineRule="exact"/>
      </w:pPr>
      <w:r>
        <w:t>10</w:t>
      </w:r>
    </w:p>
    <w:p w:rsidR="0044196A" w:rsidRDefault="00E9503B">
      <w:pPr>
        <w:pStyle w:val="20"/>
        <w:framePr w:w="9110" w:h="1319" w:hRule="exact" w:wrap="none" w:vAnchor="page" w:hAnchor="page" w:x="1736" w:y="1597"/>
        <w:shd w:val="clear" w:color="auto" w:fill="auto"/>
        <w:spacing w:line="254" w:lineRule="exact"/>
        <w:ind w:firstLine="0"/>
      </w:pPr>
      <w:r>
        <w:t xml:space="preserve">Право, на котором инженерное сооружение принадлежит заявителю (если подано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 или </w:t>
      </w:r>
      <w:r>
        <w:t>капитального ремонта участка (части) инженерного сооружения, являющегося линейным объектом): не требуется к заполнению</w:t>
      </w:r>
    </w:p>
    <w:p w:rsidR="0044196A" w:rsidRDefault="00E9503B">
      <w:pPr>
        <w:pStyle w:val="20"/>
        <w:framePr w:wrap="none" w:vAnchor="page" w:hAnchor="page" w:x="1736" w:y="2949"/>
        <w:shd w:val="clear" w:color="auto" w:fill="auto"/>
        <w:spacing w:line="200" w:lineRule="exact"/>
        <w:ind w:firstLine="0"/>
      </w:pPr>
      <w:r>
        <w:t>Сведения о способах представления результатов рассмотрения ходатайства:</w:t>
      </w:r>
    </w:p>
    <w:p w:rsidR="0044196A" w:rsidRDefault="00E9503B">
      <w:pPr>
        <w:pStyle w:val="40"/>
        <w:framePr w:wrap="none" w:vAnchor="page" w:hAnchor="page" w:x="1295" w:y="3891"/>
        <w:shd w:val="clear" w:color="auto" w:fill="auto"/>
        <w:spacing w:line="200" w:lineRule="exact"/>
      </w:pPr>
      <w:r>
        <w:t>11</w:t>
      </w:r>
    </w:p>
    <w:p w:rsidR="0044196A" w:rsidRDefault="00E9503B">
      <w:pPr>
        <w:pStyle w:val="20"/>
        <w:framePr w:w="5040" w:h="816" w:hRule="exact" w:wrap="none" w:vAnchor="page" w:hAnchor="page" w:x="1736" w:y="3300"/>
        <w:shd w:val="clear" w:color="auto" w:fill="auto"/>
        <w:spacing w:line="254" w:lineRule="exact"/>
        <w:ind w:firstLine="0"/>
        <w:jc w:val="both"/>
      </w:pPr>
      <w:r>
        <w:t xml:space="preserve">в виде электронного документа, который направляется </w:t>
      </w:r>
      <w:r>
        <w:t>уполномоченным органом заявителю посредством электронной почты</w:t>
      </w:r>
    </w:p>
    <w:p w:rsidR="0044196A" w:rsidRDefault="00181AAC">
      <w:pPr>
        <w:pStyle w:val="a5"/>
        <w:framePr w:wrap="none" w:vAnchor="page" w:hAnchor="page" w:x="8696" w:y="3656"/>
        <w:shd w:val="clear" w:color="auto" w:fill="auto"/>
        <w:spacing w:line="200" w:lineRule="exact"/>
        <w:jc w:val="both"/>
      </w:pPr>
      <w:r>
        <w:t>Да</w:t>
      </w:r>
      <w:bookmarkStart w:id="0" w:name="_GoBack"/>
      <w:bookmarkEnd w:id="0"/>
    </w:p>
    <w:p w:rsidR="0044196A" w:rsidRDefault="00E9503B">
      <w:pPr>
        <w:pStyle w:val="20"/>
        <w:framePr w:w="5040" w:h="806" w:hRule="exact" w:wrap="none" w:vAnchor="page" w:hAnchor="page" w:x="1736" w:y="4202"/>
        <w:shd w:val="clear" w:color="auto" w:fill="auto"/>
        <w:spacing w:line="254" w:lineRule="exact"/>
        <w:ind w:firstLine="0"/>
        <w:jc w:val="both"/>
      </w:pPr>
      <w:r>
        <w:t>в виде бумажного документа, который заявитель получает непосредственно приличном обращении или посредством почтового отправления</w:t>
      </w:r>
    </w:p>
    <w:p w:rsidR="0044196A" w:rsidRDefault="00E9503B">
      <w:pPr>
        <w:pStyle w:val="20"/>
        <w:framePr w:wrap="none" w:vAnchor="page" w:hAnchor="page" w:x="8687" w:y="4558"/>
        <w:shd w:val="clear" w:color="auto" w:fill="auto"/>
        <w:spacing w:line="200" w:lineRule="exact"/>
        <w:ind w:firstLine="0"/>
      </w:pPr>
      <w:r>
        <w:t>Да</w:t>
      </w:r>
    </w:p>
    <w:p w:rsidR="0044196A" w:rsidRDefault="00E9503B">
      <w:pPr>
        <w:pStyle w:val="50"/>
        <w:framePr w:wrap="none" w:vAnchor="page" w:hAnchor="page" w:x="1256" w:y="6718"/>
        <w:shd w:val="clear" w:color="auto" w:fill="auto"/>
        <w:spacing w:line="200" w:lineRule="exact"/>
      </w:pPr>
      <w:r>
        <w:t>12</w:t>
      </w:r>
    </w:p>
    <w:p w:rsidR="0044196A" w:rsidRDefault="00E9503B">
      <w:pPr>
        <w:pStyle w:val="20"/>
        <w:framePr w:w="9053" w:h="3327" w:hRule="exact" w:wrap="none" w:vAnchor="page" w:hAnchor="page" w:x="1727" w:y="5070"/>
        <w:shd w:val="clear" w:color="auto" w:fill="auto"/>
        <w:spacing w:line="250" w:lineRule="exact"/>
        <w:ind w:left="380"/>
        <w:jc w:val="both"/>
      </w:pPr>
      <w:r>
        <w:t>Документы, прилагаемые к ходатайству:</w:t>
      </w:r>
    </w:p>
    <w:p w:rsidR="0044196A" w:rsidRDefault="00E9503B">
      <w:pPr>
        <w:pStyle w:val="20"/>
        <w:framePr w:w="9053" w:h="3327" w:hRule="exact" w:wrap="none" w:vAnchor="page" w:hAnchor="page" w:x="1727" w:y="5070"/>
        <w:numPr>
          <w:ilvl w:val="0"/>
          <w:numId w:val="2"/>
        </w:numPr>
        <w:shd w:val="clear" w:color="auto" w:fill="auto"/>
        <w:tabs>
          <w:tab w:val="left" w:pos="322"/>
        </w:tabs>
        <w:spacing w:line="250" w:lineRule="exact"/>
        <w:ind w:left="380"/>
        <w:jc w:val="both"/>
      </w:pPr>
      <w:r>
        <w:t xml:space="preserve">Сведения о </w:t>
      </w:r>
      <w:r>
        <w:t>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(в фор</w:t>
      </w:r>
      <w:r>
        <w:t>ме электронного документа);</w:t>
      </w:r>
    </w:p>
    <w:p w:rsidR="0044196A" w:rsidRDefault="00E9503B">
      <w:pPr>
        <w:pStyle w:val="20"/>
        <w:framePr w:w="9053" w:h="3327" w:hRule="exact" w:wrap="none" w:vAnchor="page" w:hAnchor="page" w:x="1727" w:y="5070"/>
        <w:numPr>
          <w:ilvl w:val="0"/>
          <w:numId w:val="2"/>
        </w:numPr>
        <w:shd w:val="clear" w:color="auto" w:fill="auto"/>
        <w:tabs>
          <w:tab w:val="left" w:pos="355"/>
        </w:tabs>
        <w:spacing w:line="250" w:lineRule="exact"/>
        <w:ind w:left="380"/>
        <w:jc w:val="both"/>
      </w:pPr>
      <w:r>
        <w:t>Копия доверенности Маретиной Анастасией Егоровной, временно исполняющей обязанности нотариуса нотариального округа Санкт-Петербурга Маретина Егора Юрьевича, зарегистрирована в реестре за № 78/162-н/78-2023-6-241;</w:t>
      </w:r>
    </w:p>
    <w:p w:rsidR="0044196A" w:rsidRDefault="00E9503B">
      <w:pPr>
        <w:pStyle w:val="20"/>
        <w:framePr w:w="9053" w:h="3327" w:hRule="exact" w:wrap="none" w:vAnchor="page" w:hAnchor="page" w:x="1727" w:y="5070"/>
        <w:numPr>
          <w:ilvl w:val="0"/>
          <w:numId w:val="2"/>
        </w:numPr>
        <w:shd w:val="clear" w:color="auto" w:fill="auto"/>
        <w:tabs>
          <w:tab w:val="left" w:pos="350"/>
        </w:tabs>
        <w:spacing w:line="250" w:lineRule="exact"/>
        <w:ind w:left="380"/>
        <w:jc w:val="both"/>
      </w:pPr>
      <w:r>
        <w:t>Обоснование нео</w:t>
      </w:r>
      <w:r>
        <w:t>бходимости установления публичного сервитута на основании п.п. 2, 3 ст. 39.41 Земельного кодекса Российской Федерации;</w:t>
      </w:r>
    </w:p>
    <w:p w:rsidR="0044196A" w:rsidRDefault="00E9503B">
      <w:pPr>
        <w:pStyle w:val="20"/>
        <w:framePr w:w="9053" w:h="3327" w:hRule="exact" w:wrap="none" w:vAnchor="page" w:hAnchor="page" w:x="1727" w:y="5070"/>
        <w:numPr>
          <w:ilvl w:val="0"/>
          <w:numId w:val="2"/>
        </w:numPr>
        <w:shd w:val="clear" w:color="auto" w:fill="auto"/>
        <w:tabs>
          <w:tab w:val="left" w:pos="365"/>
        </w:tabs>
        <w:spacing w:line="250" w:lineRule="exact"/>
        <w:ind w:left="380"/>
        <w:jc w:val="both"/>
      </w:pPr>
      <w:r>
        <w:t xml:space="preserve">Г рафик проведения работ при строительстве и эксплуатации линейного объекта «Г азопровод межпоселковый от с.Червлёное до п.Прудовый Светлоярского района Волгоградской области» в формате </w:t>
      </w:r>
      <w:r w:rsidRPr="00181AAC">
        <w:rPr>
          <w:lang w:eastAsia="en-US" w:bidi="en-US"/>
        </w:rPr>
        <w:t>*</w:t>
      </w:r>
      <w:r>
        <w:rPr>
          <w:lang w:val="en-US" w:eastAsia="en-US" w:bidi="en-US"/>
        </w:rPr>
        <w:t>xls</w:t>
      </w:r>
      <w:r w:rsidRPr="00181AAC">
        <w:rPr>
          <w:lang w:eastAsia="en-US" w:bidi="en-US"/>
        </w:rPr>
        <w:t>.</w:t>
      </w:r>
    </w:p>
    <w:p w:rsidR="0044196A" w:rsidRDefault="00E9503B">
      <w:pPr>
        <w:pStyle w:val="60"/>
        <w:framePr w:wrap="none" w:vAnchor="page" w:hAnchor="page" w:x="1276" w:y="9182"/>
        <w:shd w:val="clear" w:color="auto" w:fill="auto"/>
        <w:spacing w:line="210" w:lineRule="exact"/>
      </w:pPr>
      <w:r>
        <w:t>13</w:t>
      </w:r>
    </w:p>
    <w:p w:rsidR="0044196A" w:rsidRDefault="00E9503B">
      <w:pPr>
        <w:pStyle w:val="20"/>
        <w:framePr w:w="9082" w:h="1297" w:hRule="exact" w:wrap="none" w:vAnchor="page" w:hAnchor="page" w:x="1727" w:y="8588"/>
        <w:shd w:val="clear" w:color="auto" w:fill="auto"/>
        <w:spacing w:line="250" w:lineRule="exact"/>
        <w:ind w:firstLine="0"/>
        <w:jc w:val="both"/>
      </w:pPr>
      <w:r>
        <w:t xml:space="preserve">Подтверждаю согласие на обработку персональных данных (сбор, </w:t>
      </w:r>
      <w:r>
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 же иных действий, необходимых для обработки персональных дан</w:t>
      </w:r>
      <w:r>
        <w:t>ных в соответствии с законодательством Российской Федерации), в том числе в автоматизированном режиме</w:t>
      </w:r>
    </w:p>
    <w:p w:rsidR="0044196A" w:rsidRDefault="00E9503B">
      <w:pPr>
        <w:pStyle w:val="20"/>
        <w:framePr w:wrap="none" w:vAnchor="page" w:hAnchor="page" w:x="1276" w:y="10462"/>
        <w:shd w:val="clear" w:color="auto" w:fill="auto"/>
        <w:spacing w:line="200" w:lineRule="exact"/>
        <w:ind w:firstLine="0"/>
      </w:pPr>
      <w:r>
        <w:t>14</w:t>
      </w:r>
    </w:p>
    <w:p w:rsidR="0044196A" w:rsidRDefault="00E9503B">
      <w:pPr>
        <w:pStyle w:val="20"/>
        <w:framePr w:w="9082" w:h="1055" w:hRule="exact" w:wrap="none" w:vAnchor="page" w:hAnchor="page" w:x="1727" w:y="9992"/>
        <w:shd w:val="clear" w:color="auto" w:fill="auto"/>
        <w:spacing w:line="254" w:lineRule="exact"/>
        <w:ind w:firstLine="0"/>
        <w:jc w:val="both"/>
      </w:pPr>
      <w: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</w:t>
      </w:r>
      <w:r>
        <w:t xml:space="preserve"> в них сведения соответствуют требованиям, установленным статьей 39.41 Земельного кодекса Российской Федерации</w:t>
      </w:r>
    </w:p>
    <w:p w:rsidR="0044196A" w:rsidRDefault="00E9503B">
      <w:pPr>
        <w:pStyle w:val="60"/>
        <w:framePr w:wrap="none" w:vAnchor="page" w:hAnchor="page" w:x="1276" w:y="11169"/>
        <w:shd w:val="clear" w:color="auto" w:fill="auto"/>
        <w:spacing w:line="210" w:lineRule="exact"/>
      </w:pPr>
      <w:r>
        <w:t>15</w:t>
      </w:r>
    </w:p>
    <w:p w:rsidR="0044196A" w:rsidRDefault="00E9503B">
      <w:pPr>
        <w:pStyle w:val="20"/>
        <w:framePr w:wrap="none" w:vAnchor="page" w:hAnchor="page" w:x="3752" w:y="11177"/>
        <w:shd w:val="clear" w:color="auto" w:fill="auto"/>
        <w:spacing w:line="200" w:lineRule="exact"/>
        <w:ind w:firstLine="0"/>
      </w:pPr>
      <w:r>
        <w:t>Подпись:</w:t>
      </w:r>
    </w:p>
    <w:p w:rsidR="0044196A" w:rsidRDefault="00E9503B">
      <w:pPr>
        <w:pStyle w:val="20"/>
        <w:framePr w:wrap="none" w:vAnchor="page" w:hAnchor="page" w:x="8533" w:y="11182"/>
        <w:shd w:val="clear" w:color="auto" w:fill="auto"/>
        <w:spacing w:line="200" w:lineRule="exact"/>
        <w:ind w:firstLine="0"/>
      </w:pPr>
      <w:r>
        <w:rPr>
          <w:rStyle w:val="23"/>
        </w:rPr>
        <w:t>Дата:</w:t>
      </w:r>
    </w:p>
    <w:p w:rsidR="0044196A" w:rsidRDefault="00E9503B">
      <w:pPr>
        <w:pStyle w:val="20"/>
        <w:framePr w:w="3974" w:h="547" w:hRule="exact" w:wrap="none" w:vAnchor="page" w:hAnchor="page" w:x="1746" w:y="11399"/>
        <w:shd w:val="clear" w:color="auto" w:fill="auto"/>
        <w:spacing w:line="259" w:lineRule="exact"/>
        <w:ind w:firstLine="0"/>
      </w:pPr>
      <w:r>
        <w:t xml:space="preserve">Представитель по доверенности </w:t>
      </w:r>
      <w:r>
        <w:rPr>
          <w:rStyle w:val="2105pt"/>
        </w:rPr>
        <w:t>№ 78/162-Н/78-2023-6-24</w:t>
      </w:r>
      <w:r>
        <w:t xml:space="preserve">1 от </w:t>
      </w:r>
      <w:r>
        <w:rPr>
          <w:rStyle w:val="2105pt"/>
        </w:rPr>
        <w:t xml:space="preserve">17.05.2023 </w:t>
      </w:r>
      <w:r>
        <w:t>г.</w:t>
      </w:r>
    </w:p>
    <w:p w:rsidR="0044196A" w:rsidRDefault="00181AAC">
      <w:pPr>
        <w:framePr w:wrap="none" w:vAnchor="page" w:hAnchor="page" w:x="1688" w:y="121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3665" cy="556895"/>
            <wp:effectExtent l="0" t="0" r="6985" b="0"/>
            <wp:docPr id="1" name="Рисунок 1" descr="C:\Users\Pr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6A" w:rsidRDefault="00E9503B">
      <w:pPr>
        <w:pStyle w:val="a8"/>
        <w:framePr w:w="2486" w:h="624" w:hRule="exact" w:wrap="none" w:vAnchor="page" w:hAnchor="page" w:x="4252" w:y="12273"/>
        <w:shd w:val="clear" w:color="auto" w:fill="auto"/>
        <w:spacing w:line="140" w:lineRule="exact"/>
        <w:ind w:right="160"/>
      </w:pPr>
      <w:r>
        <w:t>(фамилия, инициалы) ,</w:t>
      </w:r>
    </w:p>
    <w:p w:rsidR="0044196A" w:rsidRDefault="00E9503B">
      <w:pPr>
        <w:pStyle w:val="20"/>
        <w:framePr w:wrap="none" w:vAnchor="page" w:hAnchor="page" w:x="7823" w:y="12434"/>
        <w:shd w:val="clear" w:color="auto" w:fill="auto"/>
        <w:spacing w:line="200" w:lineRule="exact"/>
        <w:ind w:firstLine="0"/>
      </w:pPr>
      <w:r>
        <w:t>«29» ноября 2023 г.</w:t>
      </w:r>
    </w:p>
    <w:p w:rsidR="0044196A" w:rsidRDefault="0044196A">
      <w:pPr>
        <w:rPr>
          <w:sz w:val="2"/>
          <w:szCs w:val="2"/>
        </w:rPr>
      </w:pPr>
    </w:p>
    <w:sectPr w:rsidR="004419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3B" w:rsidRDefault="00E9503B">
      <w:r>
        <w:separator/>
      </w:r>
    </w:p>
  </w:endnote>
  <w:endnote w:type="continuationSeparator" w:id="0">
    <w:p w:rsidR="00E9503B" w:rsidRDefault="00E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3B" w:rsidRDefault="00E9503B"/>
  </w:footnote>
  <w:footnote w:type="continuationSeparator" w:id="0">
    <w:p w:rsidR="00E9503B" w:rsidRDefault="00E950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4FE"/>
    <w:multiLevelType w:val="multilevel"/>
    <w:tmpl w:val="0E50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E0EB1"/>
    <w:multiLevelType w:val="multilevel"/>
    <w:tmpl w:val="92040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6A"/>
    <w:rsid w:val="00181AAC"/>
    <w:rsid w:val="0044196A"/>
    <w:rsid w:val="00E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w w:val="75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10"/>
      <w:w w:val="75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w w:val="75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10"/>
      <w:w w:val="75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zdnyakova@eoggazpr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2023-12-14T07:32:00Z</dcterms:created>
  <dcterms:modified xsi:type="dcterms:W3CDTF">2023-12-14T07:34:00Z</dcterms:modified>
</cp:coreProperties>
</file>