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E2" w:rsidRPr="00BE3681" w:rsidRDefault="00771BE2" w:rsidP="00771BE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BE3681">
        <w:rPr>
          <w:rFonts w:ascii="Arial" w:eastAsia="Times New Roman" w:hAnsi="Arial" w:cs="Arial"/>
          <w:b/>
          <w:sz w:val="32"/>
          <w:szCs w:val="32"/>
          <w:lang w:eastAsia="ru-RU"/>
        </w:rPr>
        <w:t>ДУМА СВЕТЛОЯРСКОГО ГОРОДСКОГО ПОСЕЛЕНИЯ</w:t>
      </w:r>
    </w:p>
    <w:p w:rsidR="00771BE2" w:rsidRPr="00BE3681" w:rsidRDefault="00771BE2" w:rsidP="00771BE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3681">
        <w:rPr>
          <w:rFonts w:ascii="Arial" w:eastAsia="Times New Roman" w:hAnsi="Arial" w:cs="Arial"/>
          <w:b/>
          <w:sz w:val="32"/>
          <w:szCs w:val="32"/>
          <w:lang w:eastAsia="ru-RU"/>
        </w:rPr>
        <w:t>СВЕТЛОЯРСКОГО МУНИЦИПАЛЬНОГО РАЙОНА</w:t>
      </w:r>
    </w:p>
    <w:p w:rsidR="00771BE2" w:rsidRPr="00BE3681" w:rsidRDefault="00771BE2" w:rsidP="00771B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3681">
        <w:rPr>
          <w:rFonts w:ascii="Arial" w:eastAsia="Times New Roman" w:hAnsi="Arial" w:cs="Arial"/>
          <w:b/>
          <w:sz w:val="32"/>
          <w:szCs w:val="32"/>
          <w:lang w:eastAsia="ru-RU"/>
        </w:rPr>
        <w:t>ВОЛГОГРАДСКОЙ ОБЛАСТИ</w:t>
      </w:r>
    </w:p>
    <w:p w:rsidR="00771BE2" w:rsidRPr="00DD4098" w:rsidRDefault="00771BE2" w:rsidP="00771BE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771BE2" w:rsidRPr="00DD4098" w:rsidRDefault="00771BE2" w:rsidP="00771B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4098">
        <w:rPr>
          <w:rFonts w:ascii="Arial" w:eastAsia="Times New Roman" w:hAnsi="Arial" w:cs="Arial"/>
          <w:sz w:val="28"/>
          <w:szCs w:val="28"/>
          <w:lang w:eastAsia="ru-RU"/>
        </w:rPr>
        <w:t>РЕШЕНИЕ (ПРОЕКТ)</w:t>
      </w:r>
    </w:p>
    <w:p w:rsidR="00771BE2" w:rsidRPr="00DD4098" w:rsidRDefault="00771BE2" w:rsidP="00771B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BE2" w:rsidRPr="00DD4098" w:rsidRDefault="009C43EB" w:rsidP="007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___.____.2021</w:t>
      </w:r>
      <w:r w:rsidR="00771BE2" w:rsidRPr="00DD409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71BE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71BE2" w:rsidRPr="00DD409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71BE2" w:rsidRPr="00DD409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______/______       </w:t>
      </w:r>
    </w:p>
    <w:p w:rsidR="00771BE2" w:rsidRPr="00DD4098" w:rsidRDefault="00771BE2" w:rsidP="007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5C700" wp14:editId="45903EEA">
                <wp:simplePos x="0" y="0"/>
                <wp:positionH relativeFrom="column">
                  <wp:posOffset>-112981</wp:posOffset>
                </wp:positionH>
                <wp:positionV relativeFrom="paragraph">
                  <wp:posOffset>152595</wp:posOffset>
                </wp:positionV>
                <wp:extent cx="3200400" cy="192258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CB" w:rsidRPr="00771BE2" w:rsidRDefault="00981FCB" w:rsidP="0047173C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2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 внесении изменений в</w:t>
                            </w:r>
                            <w:r w:rsidRPr="0022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47173C" w:rsidRPr="0022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Положени</w:t>
                            </w:r>
                            <w:r w:rsidR="0047173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="0047173C" w:rsidRPr="0022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 о муниципальном земельном контроле в границах </w:t>
                            </w:r>
                            <w:r w:rsidR="0047173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Светлоярского городского пос</w:t>
                            </w:r>
                            <w:r w:rsidR="0047173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="0047173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ления</w:t>
                            </w:r>
                            <w:r w:rsidR="0047173C" w:rsidRPr="0022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  Светлоярского му</w:t>
                            </w:r>
                            <w:r w:rsidR="0047173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ни</w:t>
                            </w:r>
                            <w:r w:rsidR="0047173C" w:rsidRPr="0022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ципального района Волгоградской области</w:t>
                            </w:r>
                            <w:r w:rsidR="0047173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утве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жденное решением Думы Светлоярского городского поселения Светлоярского м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ниципального района Волгоградской 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ласти от 30.08.2021 № 18/83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pt;margin-top:12pt;width:252pt;height:1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GHjwIAABA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" stroked="f">
                <v:textbox>
                  <w:txbxContent>
                    <w:p w:rsidR="00981FCB" w:rsidRPr="00771BE2" w:rsidRDefault="00981FCB" w:rsidP="0047173C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 внесении изменений в</w:t>
                      </w:r>
                      <w:r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47173C"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Положени</w:t>
                      </w:r>
                      <w:r w:rsidR="0047173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="0047173C"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 о муниципал</w:t>
                      </w:r>
                      <w:r w:rsidR="0047173C"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="0047173C"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ном земельном контроле в границах </w:t>
                      </w:r>
                      <w:r w:rsidR="0047173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Светлоярского городского пос</w:t>
                      </w:r>
                      <w:r w:rsidR="0047173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="0047173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ления</w:t>
                      </w:r>
                      <w:r w:rsidR="0047173C"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  Светлоярского му</w:t>
                      </w:r>
                      <w:r w:rsidR="0047173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ни</w:t>
                      </w:r>
                      <w:r w:rsidR="0047173C" w:rsidRPr="0022339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ципального района Волгоградской области</w:t>
                      </w:r>
                      <w:r w:rsidR="0047173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утве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жденное решением Думы Светлоярского городского поселения Светлоярского м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ниципального района Волгоградской 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б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ласти от 30.08.2021 № 18/83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8AD" w:rsidRDefault="008058AD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CB" w:rsidRDefault="00981FCB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CB" w:rsidRDefault="00981FCB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CB" w:rsidRDefault="00981FCB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CB" w:rsidRDefault="00981FCB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47173C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Земельным кодексом Российской Федерации, Федерал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ным законом от 06.10.2003 № 131-ФЗ «Об общих принципах организации мес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ного самоуправления в Российской Федерации», в целях реализации Фед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рального закона от 31.07.2020 № 248-ФЗ «О государственном контроле (надз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ре) и муниципальном контроле в Российской Федерации»</w:t>
      </w:r>
      <w:r w:rsidR="0022339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BE2" w:rsidRPr="0047173C">
        <w:rPr>
          <w:rFonts w:ascii="Arial" w:eastAsia="Times New Roman" w:hAnsi="Arial" w:cs="Arial"/>
          <w:sz w:val="24"/>
          <w:szCs w:val="24"/>
          <w:lang w:eastAsia="ru-RU"/>
        </w:rPr>
        <w:t>Дум</w:t>
      </w:r>
      <w:r w:rsidR="00223399" w:rsidRPr="004717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71BE2" w:rsidRPr="0047173C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городского поселения Светлоярского муниципального района</w:t>
      </w:r>
      <w:r w:rsidR="00771BE2" w:rsidRPr="005278C2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771BE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1BE2" w:rsidRDefault="00771BE2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8AD" w:rsidRDefault="008058AD" w:rsidP="008058AD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а:</w:t>
      </w:r>
    </w:p>
    <w:p w:rsidR="0071618D" w:rsidRDefault="0071618D" w:rsidP="0071618D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99" w:rsidRDefault="00E97F2F" w:rsidP="001F77E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0305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>Положение о муниципальном земельном контроле в границах Светлоярского городского поселения Светлоярского муниципального района Волгоградской области», утвержденное решением Думы Светлоярского горо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>ского поселения Светлоярского муниципального района Волгоградской обл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1F77EA">
        <w:rPr>
          <w:rFonts w:ascii="Arial" w:eastAsia="Times New Roman" w:hAnsi="Arial" w:cs="Arial"/>
          <w:sz w:val="24"/>
          <w:szCs w:val="24"/>
          <w:lang w:eastAsia="ru-RU"/>
        </w:rPr>
        <w:t>, утвержденное решением Думы Светлоярского городского поселения Све</w:t>
      </w:r>
      <w:r w:rsidR="001F77E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F77EA">
        <w:rPr>
          <w:rFonts w:ascii="Arial" w:eastAsia="Times New Roman" w:hAnsi="Arial" w:cs="Arial"/>
          <w:sz w:val="24"/>
          <w:szCs w:val="24"/>
          <w:lang w:eastAsia="ru-RU"/>
        </w:rPr>
        <w:t xml:space="preserve">лоярского муниципального района Волгоградской области от 30.08.2021          № 18/83, </w:t>
      </w:r>
      <w:r w:rsidR="00503059">
        <w:rPr>
          <w:rFonts w:ascii="Arial" w:eastAsia="Times New Roman" w:hAnsi="Arial" w:cs="Arial"/>
          <w:sz w:val="24"/>
          <w:szCs w:val="24"/>
          <w:lang w:eastAsia="ru-RU"/>
        </w:rPr>
        <w:t>следующие изменен</w:t>
      </w:r>
      <w:r>
        <w:rPr>
          <w:rFonts w:ascii="Arial" w:eastAsia="Times New Roman" w:hAnsi="Arial" w:cs="Arial"/>
          <w:sz w:val="24"/>
          <w:szCs w:val="24"/>
          <w:lang w:eastAsia="ru-RU"/>
        </w:rPr>
        <w:t>ия:</w:t>
      </w:r>
    </w:p>
    <w:p w:rsidR="00E97F2F" w:rsidRDefault="00E97F2F" w:rsidP="0047173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C95C8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5 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C9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C6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r w:rsidR="00C95C8E">
        <w:rPr>
          <w:rFonts w:ascii="Arial" w:eastAsia="Times New Roman" w:hAnsi="Arial" w:cs="Arial"/>
          <w:sz w:val="24"/>
          <w:szCs w:val="24"/>
          <w:lang w:eastAsia="ru-RU"/>
        </w:rPr>
        <w:t>редакции согласно приложению</w:t>
      </w:r>
      <w:r w:rsidR="0047173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 w:rsidR="00C95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173C" w:rsidRDefault="0047173C" w:rsidP="0047173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399" w:rsidRPr="00223399" w:rsidRDefault="00C95C8E" w:rsidP="00C95C8E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его подписания и по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лежит официальному о</w:t>
      </w:r>
      <w:r w:rsidR="00223399">
        <w:rPr>
          <w:rFonts w:ascii="Arial" w:eastAsia="Times New Roman" w:hAnsi="Arial" w:cs="Arial"/>
          <w:sz w:val="24"/>
          <w:szCs w:val="24"/>
          <w:lang w:eastAsia="ru-RU"/>
        </w:rPr>
        <w:t>бнародованию</w:t>
      </w:r>
      <w:r w:rsidR="00223399" w:rsidRPr="002233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43EB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C8E" w:rsidRDefault="00C95C8E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3EB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Pr="00AA003D" w:rsidRDefault="00771BE2" w:rsidP="00771BE2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AA003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Глава</w:t>
      </w:r>
    </w:p>
    <w:p w:rsidR="00500C04" w:rsidRDefault="00771BE2" w:rsidP="009C43E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AA00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Светлоярского городского поселения                                                   </w:t>
      </w:r>
      <w:r w:rsidR="009C4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А.С. Клюев </w:t>
      </w:r>
      <w:r w:rsidRPr="00AA00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</w:t>
      </w:r>
    </w:p>
    <w:p w:rsidR="009C43EB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9C43EB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2F7" w:rsidRDefault="009472F7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399" w:rsidRDefault="00223399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3C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3C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6475" w:tblpY="-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47173C" w:rsidRPr="0047173C" w:rsidTr="0047173C">
        <w:tc>
          <w:tcPr>
            <w:tcW w:w="3403" w:type="dxa"/>
          </w:tcPr>
          <w:p w:rsidR="0047173C" w:rsidRPr="0047173C" w:rsidRDefault="0047173C" w:rsidP="0047173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7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к решению </w:t>
            </w:r>
          </w:p>
          <w:p w:rsidR="0047173C" w:rsidRPr="0047173C" w:rsidRDefault="0047173C" w:rsidP="0047173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7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Думы Светлоярского городского п</w:t>
            </w:r>
            <w:r w:rsidRPr="004717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717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селения Светлоярского муниципал</w:t>
            </w:r>
            <w:r w:rsidRPr="004717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717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 района Волгоградской области</w:t>
            </w:r>
          </w:p>
          <w:p w:rsidR="0047173C" w:rsidRPr="0047173C" w:rsidRDefault="0047173C" w:rsidP="0047173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7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_______________ № ___________</w:t>
            </w:r>
          </w:p>
        </w:tc>
      </w:tr>
    </w:tbl>
    <w:p w:rsidR="00C95C8E" w:rsidRDefault="00C95C8E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3C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3C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3C" w:rsidRPr="0047173C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4710" w:type="dxa"/>
        <w:tblLook w:val="04A0" w:firstRow="1" w:lastRow="0" w:firstColumn="1" w:lastColumn="0" w:noHBand="0" w:noVBand="1"/>
      </w:tblPr>
      <w:tblGrid>
        <w:gridCol w:w="4361"/>
      </w:tblGrid>
      <w:tr w:rsidR="00223399" w:rsidRPr="0047173C" w:rsidTr="00223399">
        <w:tc>
          <w:tcPr>
            <w:tcW w:w="4361" w:type="dxa"/>
            <w:shd w:val="clear" w:color="auto" w:fill="auto"/>
          </w:tcPr>
          <w:p w:rsidR="00223399" w:rsidRPr="0047173C" w:rsidRDefault="0047173C" w:rsidP="0022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Приложение 5</w:t>
            </w:r>
          </w:p>
          <w:p w:rsidR="00223399" w:rsidRPr="0047173C" w:rsidRDefault="0047173C" w:rsidP="0022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к Положению о </w:t>
            </w:r>
            <w:proofErr w:type="gramStart"/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муниципальном</w:t>
            </w:r>
            <w:proofErr w:type="gramEnd"/>
          </w:p>
          <w:p w:rsidR="00223399" w:rsidRPr="0047173C" w:rsidRDefault="0047173C" w:rsidP="0022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земельном </w:t>
            </w:r>
            <w:proofErr w:type="gramStart"/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контроле</w:t>
            </w:r>
            <w:proofErr w:type="gramEnd"/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в границах</w:t>
            </w:r>
          </w:p>
          <w:p w:rsidR="0047173C" w:rsidRDefault="00222526" w:rsidP="0047173C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Светлоярского городского поселения 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Светл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о</w:t>
            </w:r>
            <w:r w:rsidR="007E5D4E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я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рского муниципального</w:t>
            </w:r>
            <w:r w:rsid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Волгоградской</w:t>
            </w:r>
            <w:proofErr w:type="gramEnd"/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</w:p>
          <w:p w:rsidR="00223399" w:rsidRPr="0047173C" w:rsidRDefault="0047173C" w:rsidP="0047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223399" w:rsidRPr="0047173C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ar-SA"/>
              </w:rPr>
              <w:t>области</w:t>
            </w:r>
          </w:p>
        </w:tc>
      </w:tr>
    </w:tbl>
    <w:p w:rsidR="00223399" w:rsidRPr="00223399" w:rsidRDefault="00223399" w:rsidP="0022339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3399" w:rsidRPr="00223399" w:rsidRDefault="00223399" w:rsidP="0022339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33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Ключевые показатели муниципального контроля и их целевые значения, индикативные показатели</w:t>
      </w:r>
    </w:p>
    <w:p w:rsidR="00223399" w:rsidRPr="00223399" w:rsidRDefault="00223399" w:rsidP="00223399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223399" w:rsidRPr="00223399" w:rsidTr="00223399">
        <w:trPr>
          <w:trHeight w:val="315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223399" w:rsidRPr="00223399" w:rsidTr="00223399">
        <w:trPr>
          <w:trHeight w:val="150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устраненных нарушений из числа выя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нарушений земельного законодательства 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223399" w:rsidRPr="00223399" w:rsidTr="00223399">
        <w:trPr>
          <w:trHeight w:val="157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календарный год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223399" w:rsidRPr="00223399" w:rsidTr="00223399">
        <w:trPr>
          <w:trHeight w:val="127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223399" w:rsidRPr="00223399" w:rsidTr="00223399">
        <w:trPr>
          <w:trHeight w:val="165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223399" w:rsidRPr="00223399" w:rsidTr="00223399">
        <w:trPr>
          <w:trHeight w:val="142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ветствующие меры административного воздействия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223399" w:rsidRPr="00223399" w:rsidTr="00223399">
        <w:trPr>
          <w:trHeight w:val="157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внесенных судебных решений 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 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223399" w:rsidRPr="00223399" w:rsidTr="00223399">
        <w:trPr>
          <w:trHeight w:val="180"/>
        </w:trPr>
        <w:tc>
          <w:tcPr>
            <w:tcW w:w="6119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в судебном порядке пост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новлений по делам об административных правон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рушениях от общего количества вынесенных орг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муниципального контроля постановлений</w:t>
            </w:r>
          </w:p>
        </w:tc>
        <w:tc>
          <w:tcPr>
            <w:tcW w:w="3121" w:type="dxa"/>
          </w:tcPr>
          <w:p w:rsidR="00223399" w:rsidRPr="00223399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:rsidR="00223399" w:rsidRPr="00223399" w:rsidRDefault="00223399" w:rsidP="002233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3399" w:rsidRPr="00223399" w:rsidRDefault="00223399" w:rsidP="002233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33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Индикативные показатели</w:t>
      </w:r>
    </w:p>
    <w:p w:rsidR="00223399" w:rsidRPr="00223399" w:rsidRDefault="00223399" w:rsidP="002233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32"/>
        <w:gridCol w:w="177"/>
        <w:gridCol w:w="801"/>
        <w:gridCol w:w="14"/>
        <w:gridCol w:w="2268"/>
        <w:gridCol w:w="127"/>
        <w:gridCol w:w="864"/>
        <w:gridCol w:w="150"/>
        <w:gridCol w:w="1832"/>
      </w:tblGrid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мость плановых (рейдовых) з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даний (осмотров) %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проведенных плановых (ре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довых) заданий (осмотров)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РЗп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довых) заданий (осмотров)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мость внеплан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проверок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плановых пров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лобы, пост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пившие в Ко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трольный 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</w:p>
        </w:tc>
      </w:tr>
      <w:tr w:rsidR="00223399" w:rsidRPr="00223399" w:rsidTr="00222526">
        <w:trPr>
          <w:trHeight w:val="2546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были пр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знаны неде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знанных неде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ствительными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проверок, которые не уд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лось провести в связи с отсу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ствием со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ствия проверя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 лица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плановых пр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верок, в согл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вании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гласование з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явлений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проверок, 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результатам которых матер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 направлены в уполномоче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для прин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решений 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100 /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материалов, направленных в уполномоченные органы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веденных пр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Индикативные показатели, характеризующие объем задейств</w:t>
            </w: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ванных трудовых ресурсов</w:t>
            </w: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99" w:rsidRPr="00223399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трольных мер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на рабо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органа м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ко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контрольных м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223399" w:rsidRPr="00223399" w:rsidRDefault="00223399" w:rsidP="002233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223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3399" w:rsidRPr="00223399" w:rsidRDefault="00223399" w:rsidP="002233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3AAC" w:rsidRDefault="00363AAC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Количество плановых контрольных (надзорных) мероприятий, пров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денных за отчетный период;</w:t>
      </w:r>
    </w:p>
    <w:p w:rsidR="00363AAC" w:rsidRDefault="00363AAC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количество внеплановых контрольных (надзорных) мероприятий, пров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денных за отчетный период;</w:t>
      </w:r>
    </w:p>
    <w:p w:rsidR="00363AAC" w:rsidRDefault="00363AAC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количество внеплановых контрольных (надзорных) мероприятий, пров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63AAC" w:rsidRDefault="00363AAC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общее количество контрольных (надзорных) мероприятий с взаимоде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ствием, проведенных за отчетный период;</w:t>
      </w:r>
    </w:p>
    <w:p w:rsidR="00363AAC" w:rsidRDefault="00363AAC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количество контрольных (надзорных) мероприятий с взаимодействием по каждому виду КНМ, проведенных за отчетный период;</w:t>
      </w:r>
    </w:p>
    <w:p w:rsidR="00363AAC" w:rsidRDefault="00363AAC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количество контрольных (надзорных) мероприятий, проведенных с и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пользованием средств дистанционного взаимодействия, за отчетный период;</w:t>
      </w:r>
    </w:p>
    <w:p w:rsidR="00223399" w:rsidRDefault="00363AAC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количество </w:t>
      </w:r>
      <w:r w:rsidR="008A24B9">
        <w:rPr>
          <w:rFonts w:ascii="Arial" w:eastAsia="Times New Roman" w:hAnsi="Arial" w:cs="Arial"/>
          <w:sz w:val="24"/>
          <w:szCs w:val="24"/>
          <w:lang w:eastAsia="ru-RU"/>
        </w:rPr>
        <w:t>предостережений о недопустимости нарушения обязател</w:t>
      </w:r>
      <w:r w:rsidR="008A24B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8A24B9">
        <w:rPr>
          <w:rFonts w:ascii="Arial" w:eastAsia="Times New Roman" w:hAnsi="Arial" w:cs="Arial"/>
          <w:sz w:val="24"/>
          <w:szCs w:val="24"/>
          <w:lang w:eastAsia="ru-RU"/>
        </w:rPr>
        <w:t>ных требований, объявленных за отчетный период;</w:t>
      </w:r>
    </w:p>
    <w:p w:rsidR="00E55EE9" w:rsidRDefault="006007C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количество контрольных </w:t>
      </w:r>
      <w:r w:rsidR="00E55EE9">
        <w:rPr>
          <w:rFonts w:ascii="Arial" w:eastAsia="Times New Roman" w:hAnsi="Arial" w:cs="Arial"/>
          <w:sz w:val="24"/>
          <w:szCs w:val="24"/>
          <w:lang w:eastAsia="ru-RU"/>
        </w:rPr>
        <w:t>(надзорных) мероприятий, по результатам к</w:t>
      </w:r>
      <w:r w:rsidR="00E55E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55EE9">
        <w:rPr>
          <w:rFonts w:ascii="Arial" w:eastAsia="Times New Roman" w:hAnsi="Arial" w:cs="Arial"/>
          <w:sz w:val="24"/>
          <w:szCs w:val="24"/>
          <w:lang w:eastAsia="ru-RU"/>
        </w:rPr>
        <w:t>торых выявлены нарушения обязательных требований, за отчетный период;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сумма административных штрафов, наложенных по результатам ко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трольных (надзорных) мероприятий, за отчетный период;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количество направленных в органы прокуратуры заявлений о соглас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вании проведения (надзорных) мероприятий, за отчетный период;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 количество направленных в органы прокуратуры заявлений о соглас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 общее количество учтенных объектов контроля на конец отчетного п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риода;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количество учтенных объектов контроля, отнесенных к категориям ри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ка, по каждой из категорий риска, на конец отчетного периода;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 количество учтенных контролируемых лиц на конец отчетного периода;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 количество учтенных контролируемых лиц, в отношении которых пр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ведены контрольные (надзорные) мероприятия, за отчетный период;</w:t>
      </w:r>
    </w:p>
    <w:p w:rsidR="00E55EE9" w:rsidRDefault="00E55EE9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 общее количество жалоб, поданных контролируемыми лицами в дос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дебном порядке за отчетный период;</w:t>
      </w:r>
    </w:p>
    <w:p w:rsidR="008A24B9" w:rsidRDefault="009472F7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 количество жалоб, в отношении которых контрольным (надзорным) 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ганом был нарушен срок рассмотрения, за отчетный период;</w:t>
      </w:r>
    </w:p>
    <w:p w:rsidR="009472F7" w:rsidRDefault="009472F7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 количество жалоб, поданных контролируемыми лицами в досудебном порядке, по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которых принято решение о полной либо 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9472F7" w:rsidRDefault="009472F7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 количество исковых заявлений об оспаривании решений, действий (бездействий) должностных лиц контрольных (надзорных) органов, направле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контролируемыми лицами в судебном порядке, за отчетный период;</w:t>
      </w:r>
    </w:p>
    <w:p w:rsidR="009472F7" w:rsidRDefault="009472F7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контролируемыми лицами в судебном порядке, по которым принято 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 об удовлетворении заявленных требований, за отчетный период;</w:t>
      </w:r>
    </w:p>
    <w:p w:rsidR="009472F7" w:rsidRPr="00C95C8E" w:rsidRDefault="009472F7" w:rsidP="00363A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22. количество контрольных (надзорных) мероприятий, проведенных с гр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бым нарушением требований к организации и осуществлению муниципального контроля и результаты которых были признаны недействительными и (или) о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менены), за отчетный период.   </w:t>
      </w:r>
      <w:proofErr w:type="gramEnd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223399" w:rsidRPr="00223399" w:rsidTr="00223399">
        <w:tc>
          <w:tcPr>
            <w:tcW w:w="0" w:type="auto"/>
            <w:vAlign w:val="center"/>
          </w:tcPr>
          <w:p w:rsidR="00223399" w:rsidRPr="00223399" w:rsidRDefault="00223399" w:rsidP="002233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223399" w:rsidRPr="00223399" w:rsidRDefault="00223399" w:rsidP="0022339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00C04" w:rsidRPr="00223399" w:rsidRDefault="007C55DD" w:rsidP="007C55DD">
      <w:pPr>
        <w:rPr>
          <w:rFonts w:ascii="Arial" w:hAnsi="Arial" w:cs="Arial"/>
        </w:rPr>
      </w:pPr>
      <w:r w:rsidRPr="002233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33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33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33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33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</w:p>
    <w:sectPr w:rsidR="00500C04" w:rsidRPr="00223399" w:rsidSect="0047173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96" w:rsidRDefault="00E73A96" w:rsidP="006325BF">
      <w:pPr>
        <w:spacing w:after="0" w:line="240" w:lineRule="auto"/>
      </w:pPr>
      <w:r>
        <w:separator/>
      </w:r>
    </w:p>
  </w:endnote>
  <w:endnote w:type="continuationSeparator" w:id="0">
    <w:p w:rsidR="00E73A96" w:rsidRDefault="00E73A96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96" w:rsidRDefault="00E73A96" w:rsidP="006325BF">
      <w:pPr>
        <w:spacing w:after="0" w:line="240" w:lineRule="auto"/>
      </w:pPr>
      <w:r>
        <w:separator/>
      </w:r>
    </w:p>
  </w:footnote>
  <w:footnote w:type="continuationSeparator" w:id="0">
    <w:p w:rsidR="00E73A96" w:rsidRDefault="00E73A96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CB" w:rsidRDefault="00981FCB" w:rsidP="00BD176B">
    <w:pPr>
      <w:pStyle w:val="ad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CC82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8A468D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93EE9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C64B7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654E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E4E2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F7D33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7D10"/>
    <w:multiLevelType w:val="hybridMultilevel"/>
    <w:tmpl w:val="31C49F62"/>
    <w:lvl w:ilvl="0" w:tplc="C0201324">
      <w:start w:val="1"/>
      <w:numFmt w:val="decimal"/>
      <w:lvlText w:val="%1."/>
      <w:lvlJc w:val="center"/>
      <w:pPr>
        <w:tabs>
          <w:tab w:val="num" w:pos="227"/>
        </w:tabs>
        <w:ind w:left="0" w:firstLine="7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A182B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66008"/>
    <w:multiLevelType w:val="multilevel"/>
    <w:tmpl w:val="40E62D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4AE74B5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B2059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9744F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51A4"/>
    <w:multiLevelType w:val="multilevel"/>
    <w:tmpl w:val="33CC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FF2801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4510A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E311A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36A6F6D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D576D"/>
    <w:multiLevelType w:val="hybridMultilevel"/>
    <w:tmpl w:val="4F689A56"/>
    <w:lvl w:ilvl="0" w:tplc="B32C0B3C">
      <w:start w:val="1"/>
      <w:numFmt w:val="decimal"/>
      <w:lvlText w:val="%1."/>
      <w:lvlJc w:val="left"/>
      <w:pPr>
        <w:tabs>
          <w:tab w:val="num" w:pos="340"/>
        </w:tabs>
        <w:ind w:left="17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759F1A08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D741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A186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4"/>
  </w:num>
  <w:num w:numId="5">
    <w:abstractNumId w:val="18"/>
  </w:num>
  <w:num w:numId="6">
    <w:abstractNumId w:val="6"/>
  </w:num>
  <w:num w:numId="7">
    <w:abstractNumId w:val="8"/>
  </w:num>
  <w:num w:numId="8">
    <w:abstractNumId w:val="23"/>
  </w:num>
  <w:num w:numId="9">
    <w:abstractNumId w:val="17"/>
  </w:num>
  <w:num w:numId="10">
    <w:abstractNumId w:val="5"/>
  </w:num>
  <w:num w:numId="11">
    <w:abstractNumId w:val="22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21"/>
  </w:num>
  <w:num w:numId="19">
    <w:abstractNumId w:val="16"/>
  </w:num>
  <w:num w:numId="20">
    <w:abstractNumId w:val="9"/>
  </w:num>
  <w:num w:numId="21">
    <w:abstractNumId w:val="12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5059"/>
    <w:rsid w:val="0007238E"/>
    <w:rsid w:val="000774F2"/>
    <w:rsid w:val="00135D05"/>
    <w:rsid w:val="001F0FC1"/>
    <w:rsid w:val="001F77EA"/>
    <w:rsid w:val="00222526"/>
    <w:rsid w:val="00223399"/>
    <w:rsid w:val="002627D9"/>
    <w:rsid w:val="00280434"/>
    <w:rsid w:val="00323466"/>
    <w:rsid w:val="00342962"/>
    <w:rsid w:val="00363AAC"/>
    <w:rsid w:val="003F0533"/>
    <w:rsid w:val="00401FB8"/>
    <w:rsid w:val="0047173C"/>
    <w:rsid w:val="004A1555"/>
    <w:rsid w:val="004C1E0F"/>
    <w:rsid w:val="00500C04"/>
    <w:rsid w:val="00503059"/>
    <w:rsid w:val="00512A2E"/>
    <w:rsid w:val="005E5327"/>
    <w:rsid w:val="006007C9"/>
    <w:rsid w:val="006325BF"/>
    <w:rsid w:val="006458C4"/>
    <w:rsid w:val="00652426"/>
    <w:rsid w:val="0065589A"/>
    <w:rsid w:val="0067132C"/>
    <w:rsid w:val="006824F6"/>
    <w:rsid w:val="0071618D"/>
    <w:rsid w:val="0072615E"/>
    <w:rsid w:val="00771BE2"/>
    <w:rsid w:val="007C55DD"/>
    <w:rsid w:val="007E5D4E"/>
    <w:rsid w:val="008058AD"/>
    <w:rsid w:val="00814187"/>
    <w:rsid w:val="008A24B9"/>
    <w:rsid w:val="008A4C63"/>
    <w:rsid w:val="008E592F"/>
    <w:rsid w:val="008E6B17"/>
    <w:rsid w:val="009472F7"/>
    <w:rsid w:val="00970C53"/>
    <w:rsid w:val="00981FCB"/>
    <w:rsid w:val="00982C17"/>
    <w:rsid w:val="00984A22"/>
    <w:rsid w:val="00994EDB"/>
    <w:rsid w:val="009C43EB"/>
    <w:rsid w:val="009D7E27"/>
    <w:rsid w:val="009F7AB2"/>
    <w:rsid w:val="00A822F7"/>
    <w:rsid w:val="00B052AB"/>
    <w:rsid w:val="00B40DD9"/>
    <w:rsid w:val="00B82FD7"/>
    <w:rsid w:val="00BD176B"/>
    <w:rsid w:val="00BE7C6F"/>
    <w:rsid w:val="00BF5433"/>
    <w:rsid w:val="00C5119C"/>
    <w:rsid w:val="00C95C8E"/>
    <w:rsid w:val="00CC7199"/>
    <w:rsid w:val="00CD0F0B"/>
    <w:rsid w:val="00D16205"/>
    <w:rsid w:val="00D27FA1"/>
    <w:rsid w:val="00E55EE9"/>
    <w:rsid w:val="00E65AFC"/>
    <w:rsid w:val="00E73A96"/>
    <w:rsid w:val="00E97F2F"/>
    <w:rsid w:val="00EC642C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paragraph" w:styleId="9">
    <w:name w:val="heading 9"/>
    <w:basedOn w:val="a"/>
    <w:next w:val="a"/>
    <w:link w:val="90"/>
    <w:qFormat/>
    <w:rsid w:val="002233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135D05"/>
    <w:pPr>
      <w:ind w:left="720"/>
      <w:contextualSpacing/>
    </w:pPr>
  </w:style>
  <w:style w:type="paragraph" w:styleId="ab">
    <w:name w:val="Balloon Text"/>
    <w:basedOn w:val="a"/>
    <w:link w:val="ac"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52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15E"/>
  </w:style>
  <w:style w:type="paragraph" w:styleId="af">
    <w:name w:val="footer"/>
    <w:basedOn w:val="a"/>
    <w:link w:val="af0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15E"/>
  </w:style>
  <w:style w:type="character" w:customStyle="1" w:styleId="90">
    <w:name w:val="Заголовок 9 Знак"/>
    <w:basedOn w:val="a0"/>
    <w:link w:val="9"/>
    <w:rsid w:val="0022339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23399"/>
  </w:style>
  <w:style w:type="paragraph" w:styleId="3">
    <w:name w:val="Body Text 3"/>
    <w:basedOn w:val="a"/>
    <w:link w:val="30"/>
    <w:rsid w:val="002233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23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22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3399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2339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link w:val="ConsPlusNonformat1"/>
    <w:uiPriority w:val="99"/>
    <w:rsid w:val="00223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unhideWhenUsed/>
    <w:rsid w:val="00223399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23399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223399"/>
  </w:style>
  <w:style w:type="character" w:customStyle="1" w:styleId="ConsPlusNonformat1">
    <w:name w:val="ConsPlusNonformat1"/>
    <w:link w:val="ConsPlusNonformat"/>
    <w:uiPriority w:val="99"/>
    <w:locked/>
    <w:rsid w:val="002233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paragraph" w:styleId="9">
    <w:name w:val="heading 9"/>
    <w:basedOn w:val="a"/>
    <w:next w:val="a"/>
    <w:link w:val="90"/>
    <w:qFormat/>
    <w:rsid w:val="002233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135D05"/>
    <w:pPr>
      <w:ind w:left="720"/>
      <w:contextualSpacing/>
    </w:pPr>
  </w:style>
  <w:style w:type="paragraph" w:styleId="ab">
    <w:name w:val="Balloon Text"/>
    <w:basedOn w:val="a"/>
    <w:link w:val="ac"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52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15E"/>
  </w:style>
  <w:style w:type="paragraph" w:styleId="af">
    <w:name w:val="footer"/>
    <w:basedOn w:val="a"/>
    <w:link w:val="af0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15E"/>
  </w:style>
  <w:style w:type="character" w:customStyle="1" w:styleId="90">
    <w:name w:val="Заголовок 9 Знак"/>
    <w:basedOn w:val="a0"/>
    <w:link w:val="9"/>
    <w:rsid w:val="0022339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23399"/>
  </w:style>
  <w:style w:type="paragraph" w:styleId="3">
    <w:name w:val="Body Text 3"/>
    <w:basedOn w:val="a"/>
    <w:link w:val="30"/>
    <w:rsid w:val="002233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23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22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3399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2339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link w:val="ConsPlusNonformat1"/>
    <w:uiPriority w:val="99"/>
    <w:rsid w:val="00223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unhideWhenUsed/>
    <w:rsid w:val="00223399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23399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223399"/>
  </w:style>
  <w:style w:type="character" w:customStyle="1" w:styleId="ConsPlusNonformat1">
    <w:name w:val="ConsPlusNonformat1"/>
    <w:link w:val="ConsPlusNonformat"/>
    <w:uiPriority w:val="99"/>
    <w:locked/>
    <w:rsid w:val="002233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E7D0-939C-4690-9634-EE834D60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2</cp:revision>
  <cp:lastPrinted>2021-12-16T07:17:00Z</cp:lastPrinted>
  <dcterms:created xsi:type="dcterms:W3CDTF">2021-12-16T07:55:00Z</dcterms:created>
  <dcterms:modified xsi:type="dcterms:W3CDTF">2021-12-16T07:55:00Z</dcterms:modified>
</cp:coreProperties>
</file>