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6D2DEF" wp14:editId="57881712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037802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37802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9E197E" w:rsidRDefault="009E197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BE69BE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733">
        <w:rPr>
          <w:rFonts w:ascii="Arial" w:eastAsia="Times New Roman" w:hAnsi="Arial" w:cs="Arial"/>
          <w:sz w:val="24"/>
          <w:szCs w:val="24"/>
          <w:lang w:eastAsia="ru-RU"/>
        </w:rPr>
        <w:t>30.12.2019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D5B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72733">
        <w:rPr>
          <w:rFonts w:ascii="Arial" w:eastAsia="Times New Roman" w:hAnsi="Arial" w:cs="Arial"/>
          <w:sz w:val="24"/>
          <w:szCs w:val="24"/>
          <w:lang w:eastAsia="ru-RU"/>
        </w:rPr>
        <w:t xml:space="preserve"> 2747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506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</w:t>
      </w:r>
      <w:r w:rsidR="00A35506">
        <w:rPr>
          <w:rFonts w:ascii="Arial" w:eastAsia="Calibri" w:hAnsi="Arial" w:cs="Arial"/>
          <w:sz w:val="24"/>
          <w:szCs w:val="24"/>
        </w:rPr>
        <w:t>в Базовые нормативы затрат на выполнение</w:t>
      </w:r>
    </w:p>
    <w:p w:rsidR="00A35506" w:rsidRDefault="001C093F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м</w:t>
      </w:r>
      <w:r w:rsidR="00A35506">
        <w:rPr>
          <w:rFonts w:ascii="Arial" w:eastAsia="Calibri" w:hAnsi="Arial" w:cs="Arial"/>
          <w:sz w:val="24"/>
          <w:szCs w:val="24"/>
        </w:rPr>
        <w:t xml:space="preserve">униципальных работ муниципальными бюджетными (автономными) учреждениями </w:t>
      </w:r>
      <w:proofErr w:type="spellStart"/>
      <w:r w:rsidR="00A3550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A35506"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 w:rsidR="00A3550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proofErr w:type="gramEnd"/>
    </w:p>
    <w:p w:rsidR="00A35506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городского поселения) за счет средств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A35506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</w:p>
    <w:p w:rsidR="00BE69BE" w:rsidRDefault="00A35506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2019 год, утвержденные </w:t>
      </w:r>
      <w:r w:rsidR="00BE69BE">
        <w:rPr>
          <w:rFonts w:ascii="Arial" w:eastAsia="Calibri" w:hAnsi="Arial" w:cs="Arial"/>
          <w:sz w:val="24"/>
          <w:szCs w:val="24"/>
        </w:rPr>
        <w:t>постановление</w:t>
      </w:r>
      <w:r>
        <w:rPr>
          <w:rFonts w:ascii="Arial" w:eastAsia="Calibri" w:hAnsi="Arial" w:cs="Arial"/>
          <w:sz w:val="24"/>
          <w:szCs w:val="24"/>
        </w:rPr>
        <w:t>м</w:t>
      </w:r>
      <w:r w:rsidR="00BE69BE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BE69BE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от 22.01.2019 № 59</w:t>
      </w:r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386131">
        <w:rPr>
          <w:rFonts w:ascii="Arial" w:eastAsia="Calibri" w:hAnsi="Arial" w:cs="Arial"/>
          <w:sz w:val="24"/>
          <w:szCs w:val="24"/>
        </w:rPr>
        <w:t xml:space="preserve">Об утверждении Базовых нормативов затрат на оказание </w:t>
      </w:r>
    </w:p>
    <w:p w:rsidR="00BE69BE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r>
        <w:rPr>
          <w:rFonts w:ascii="Arial" w:eastAsia="Calibri" w:hAnsi="Arial" w:cs="Arial"/>
          <w:sz w:val="24"/>
          <w:szCs w:val="24"/>
        </w:rPr>
        <w:t>, выполнение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 xml:space="preserve">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BE69BE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</w:p>
    <w:p w:rsidR="00BE69BE" w:rsidRPr="00386131" w:rsidRDefault="00BE69BE" w:rsidP="00BE69B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 на 2019 год»</w:t>
      </w:r>
    </w:p>
    <w:p w:rsidR="00AD23F0" w:rsidRPr="00346EC0" w:rsidRDefault="00AD23F0" w:rsidP="00346EC0">
      <w:pPr>
        <w:pStyle w:val="ConsPlusTitle"/>
        <w:widowControl/>
        <w:rPr>
          <w:b w:val="0"/>
          <w:sz w:val="24"/>
          <w:szCs w:val="24"/>
        </w:rPr>
      </w:pPr>
    </w:p>
    <w:p w:rsidR="004E0FA4" w:rsidRDefault="004E0FA4" w:rsidP="00622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BCE" w:rsidRDefault="00F37BCE" w:rsidP="00622A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BE69BE" w:rsidP="00622A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proofErr w:type="gramStart"/>
      <w:r w:rsidRPr="00386131">
        <w:rPr>
          <w:rFonts w:ascii="Arial" w:hAnsi="Arial" w:cs="Arial"/>
          <w:color w:val="052635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86131">
        <w:rPr>
          <w:rFonts w:ascii="Arial" w:hAnsi="Arial" w:cs="Arial"/>
          <w:color w:val="052635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hd w:val="clear" w:color="auto" w:fill="FFFFFF"/>
        </w:rPr>
        <w:t xml:space="preserve"> муниципального района от </w:t>
      </w:r>
      <w:r>
        <w:rPr>
          <w:rFonts w:ascii="Arial" w:hAnsi="Arial" w:cs="Arial"/>
          <w:color w:val="052635"/>
          <w:shd w:val="clear" w:color="auto" w:fill="FFFFFF"/>
        </w:rPr>
        <w:t>20</w:t>
      </w:r>
      <w:r w:rsidRPr="00386131">
        <w:rPr>
          <w:rFonts w:ascii="Arial" w:hAnsi="Arial" w:cs="Arial"/>
          <w:color w:val="052635"/>
          <w:shd w:val="clear" w:color="auto" w:fill="FFFFFF"/>
        </w:rPr>
        <w:t>.1</w:t>
      </w:r>
      <w:r>
        <w:rPr>
          <w:rFonts w:ascii="Arial" w:hAnsi="Arial" w:cs="Arial"/>
          <w:color w:val="052635"/>
          <w:shd w:val="clear" w:color="auto" w:fill="FFFFFF"/>
        </w:rPr>
        <w:t>2</w:t>
      </w:r>
      <w:r w:rsidRPr="00386131">
        <w:rPr>
          <w:rFonts w:ascii="Arial" w:hAnsi="Arial" w:cs="Arial"/>
          <w:color w:val="052635"/>
          <w:shd w:val="clear" w:color="auto" w:fill="FFFFFF"/>
        </w:rPr>
        <w:t>.201</w:t>
      </w:r>
      <w:r>
        <w:rPr>
          <w:rFonts w:ascii="Arial" w:hAnsi="Arial" w:cs="Arial"/>
          <w:color w:val="052635"/>
          <w:shd w:val="clear" w:color="auto" w:fill="FFFFFF"/>
        </w:rPr>
        <w:t>7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 № </w:t>
      </w:r>
      <w:r>
        <w:rPr>
          <w:rFonts w:ascii="Arial" w:hAnsi="Arial" w:cs="Arial"/>
          <w:color w:val="052635"/>
          <w:shd w:val="clear" w:color="auto" w:fill="FFFFFF"/>
        </w:rPr>
        <w:t>3559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86131">
        <w:rPr>
          <w:rFonts w:ascii="Arial" w:hAnsi="Arial" w:cs="Arial"/>
          <w:color w:val="052635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hd w:val="clear" w:color="auto" w:fill="FFFFFF"/>
        </w:rPr>
        <w:t xml:space="preserve"> муниципального района (</w:t>
      </w:r>
      <w:proofErr w:type="spellStart"/>
      <w:r w:rsidRPr="00386131">
        <w:rPr>
          <w:rFonts w:ascii="Arial" w:hAnsi="Arial" w:cs="Arial"/>
          <w:color w:val="052635"/>
          <w:shd w:val="clear" w:color="auto" w:fill="FFFFFF"/>
        </w:rPr>
        <w:t>Светлоярского</w:t>
      </w:r>
      <w:proofErr w:type="spellEnd"/>
      <w:r w:rsidRPr="00386131">
        <w:rPr>
          <w:rFonts w:ascii="Arial" w:hAnsi="Arial" w:cs="Arial"/>
          <w:color w:val="052635"/>
          <w:shd w:val="clear" w:color="auto" w:fill="FFFFFF"/>
        </w:rPr>
        <w:t xml:space="preserve"> городского поселения) и финансового обеспечения выполнения муниципального задания</w:t>
      </w:r>
      <w:r>
        <w:rPr>
          <w:rFonts w:ascii="Arial" w:hAnsi="Arial" w:cs="Arial"/>
          <w:color w:val="052635"/>
          <w:shd w:val="clear" w:color="auto" w:fill="FFFFFF"/>
        </w:rPr>
        <w:t xml:space="preserve"> в новой редакции</w:t>
      </w:r>
      <w:r w:rsidRPr="00386131">
        <w:rPr>
          <w:rFonts w:ascii="Arial" w:hAnsi="Arial" w:cs="Arial"/>
          <w:color w:val="052635"/>
          <w:shd w:val="clear" w:color="auto" w:fill="FFFFFF"/>
        </w:rPr>
        <w:t xml:space="preserve">», </w:t>
      </w:r>
      <w:r w:rsidRPr="00386131">
        <w:rPr>
          <w:rFonts w:ascii="Arial" w:hAnsi="Arial" w:cs="Arial"/>
        </w:rPr>
        <w:t xml:space="preserve">руководствуясь Уставом </w:t>
      </w:r>
      <w:proofErr w:type="spellStart"/>
      <w:r w:rsidRPr="00386131">
        <w:rPr>
          <w:rFonts w:ascii="Arial" w:hAnsi="Arial" w:cs="Arial"/>
        </w:rPr>
        <w:t>Светлоярского</w:t>
      </w:r>
      <w:proofErr w:type="spellEnd"/>
      <w:proofErr w:type="gramEnd"/>
      <w:r w:rsidRPr="00386131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области, Уставом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</w:rPr>
        <w:t>,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622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9BE">
        <w:rPr>
          <w:rFonts w:ascii="Arial" w:hAnsi="Arial" w:cs="Arial"/>
          <w:sz w:val="24"/>
          <w:szCs w:val="24"/>
        </w:rPr>
        <w:t xml:space="preserve">Внести изменение в Базовые нормативы затрат </w:t>
      </w:r>
      <w:r w:rsidRPr="00BE69BE">
        <w:rPr>
          <w:rFonts w:ascii="Arial" w:eastAsia="Calibri" w:hAnsi="Arial" w:cs="Arial"/>
          <w:sz w:val="24"/>
          <w:szCs w:val="24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поселения) за счет средств бюджета 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 w:rsidRPr="00BE69B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BE69BE">
        <w:rPr>
          <w:rFonts w:ascii="Arial" w:eastAsia="Calibri" w:hAnsi="Arial" w:cs="Arial"/>
          <w:sz w:val="24"/>
          <w:szCs w:val="24"/>
        </w:rPr>
        <w:t xml:space="preserve"> городского поселения) на 2019 год</w:t>
      </w:r>
      <w:r w:rsidR="001C093F">
        <w:rPr>
          <w:rFonts w:ascii="Arial" w:eastAsia="Calibri" w:hAnsi="Arial" w:cs="Arial"/>
          <w:sz w:val="24"/>
          <w:szCs w:val="24"/>
        </w:rPr>
        <w:t xml:space="preserve">, </w:t>
      </w:r>
      <w:r w:rsidRPr="00BE69BE">
        <w:rPr>
          <w:rFonts w:ascii="Arial" w:eastAsia="Calibri" w:hAnsi="Arial" w:cs="Arial"/>
          <w:sz w:val="24"/>
          <w:szCs w:val="24"/>
        </w:rPr>
        <w:t xml:space="preserve"> </w:t>
      </w:r>
      <w:r w:rsidR="001C093F">
        <w:rPr>
          <w:rFonts w:ascii="Arial" w:eastAsia="Calibri" w:hAnsi="Arial" w:cs="Arial"/>
          <w:sz w:val="24"/>
          <w:szCs w:val="24"/>
        </w:rPr>
        <w:t>утвержденные постановлением администрации</w:t>
      </w:r>
      <w:r w:rsidR="001C093F" w:rsidRP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муниципального района от 22.01.2019 № 59 «</w:t>
      </w:r>
      <w:r w:rsidR="001C093F" w:rsidRPr="00386131">
        <w:rPr>
          <w:rFonts w:ascii="Arial" w:eastAsia="Calibri" w:hAnsi="Arial" w:cs="Arial"/>
          <w:sz w:val="24"/>
          <w:szCs w:val="24"/>
        </w:rPr>
        <w:t>Об утверждении Базовых нормативов затрат на оказание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муниципальных услуг</w:t>
      </w:r>
      <w:r w:rsidR="001C093F">
        <w:rPr>
          <w:rFonts w:ascii="Arial" w:eastAsia="Calibri" w:hAnsi="Arial" w:cs="Arial"/>
          <w:sz w:val="24"/>
          <w:szCs w:val="24"/>
        </w:rPr>
        <w:t>, выполнение работ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 муниципальными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бюджетными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 xml:space="preserve">(автономными) учреждениями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  <w:proofErr w:type="gramEnd"/>
      <w:r w:rsidR="001C093F">
        <w:rPr>
          <w:rFonts w:ascii="Arial" w:eastAsia="Calibri" w:hAnsi="Arial" w:cs="Arial"/>
          <w:sz w:val="24"/>
          <w:szCs w:val="24"/>
        </w:rPr>
        <w:t xml:space="preserve"> </w:t>
      </w:r>
      <w:r w:rsidR="001C093F">
        <w:rPr>
          <w:rFonts w:ascii="Arial" w:eastAsia="Calibri" w:hAnsi="Arial" w:cs="Arial"/>
          <w:sz w:val="24"/>
          <w:szCs w:val="24"/>
        </w:rPr>
        <w:lastRenderedPageBreak/>
        <w:t>(</w:t>
      </w:r>
      <w:proofErr w:type="spellStart"/>
      <w:proofErr w:type="gram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1C093F" w:rsidRPr="00BE69BE">
        <w:rPr>
          <w:rFonts w:ascii="Arial" w:hAnsi="Arial" w:cs="Arial"/>
          <w:sz w:val="24"/>
          <w:szCs w:val="24"/>
        </w:rPr>
        <w:t xml:space="preserve"> </w:t>
      </w:r>
      <w:r w:rsidR="001C093F">
        <w:rPr>
          <w:rFonts w:ascii="Arial" w:hAnsi="Arial" w:cs="Arial"/>
          <w:sz w:val="24"/>
          <w:szCs w:val="24"/>
        </w:rPr>
        <w:t xml:space="preserve"> </w:t>
      </w:r>
      <w:r w:rsidR="001C093F"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1C0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093F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="001C093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1C093F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1C093F">
        <w:rPr>
          <w:rFonts w:ascii="Arial" w:eastAsia="Calibri" w:hAnsi="Arial" w:cs="Arial"/>
          <w:sz w:val="24"/>
          <w:szCs w:val="24"/>
        </w:rPr>
        <w:t xml:space="preserve"> городского поселения) на 2019 год» </w:t>
      </w:r>
      <w:r w:rsidRPr="00BE69BE">
        <w:rPr>
          <w:rFonts w:ascii="Arial" w:hAnsi="Arial" w:cs="Arial"/>
          <w:sz w:val="24"/>
          <w:szCs w:val="24"/>
        </w:rPr>
        <w:t>(прилагается).</w:t>
      </w:r>
      <w:proofErr w:type="gramEnd"/>
    </w:p>
    <w:p w:rsidR="00BE69BE" w:rsidRPr="00BE69BE" w:rsidRDefault="00BE69BE" w:rsidP="00BE69BE">
      <w:pPr>
        <w:pStyle w:val="a5"/>
        <w:rPr>
          <w:rFonts w:ascii="Arial" w:hAnsi="Arial" w:cs="Arial"/>
          <w:sz w:val="24"/>
          <w:szCs w:val="24"/>
        </w:rPr>
      </w:pPr>
    </w:p>
    <w:p w:rsidR="00BE69BE" w:rsidRDefault="00BE69BE" w:rsidP="00BE69BE">
      <w:pPr>
        <w:pStyle w:val="a5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866FD" w:rsidRPr="007866FD" w:rsidRDefault="007866FD" w:rsidP="007866F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66FD" w:rsidRDefault="007866FD" w:rsidP="007866FD">
      <w:pPr>
        <w:pStyle w:val="31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5506">
        <w:rPr>
          <w:rFonts w:ascii="Arial" w:hAnsi="Arial" w:cs="Arial"/>
        </w:rPr>
        <w:t>3</w:t>
      </w:r>
      <w:r w:rsidRPr="00172257">
        <w:rPr>
          <w:rFonts w:ascii="Arial" w:hAnsi="Arial" w:cs="Arial"/>
        </w:rPr>
        <w:t>. Отделу по муниципальной службе, общим и кадровым вопросам</w:t>
      </w:r>
      <w:r>
        <w:rPr>
          <w:rFonts w:ascii="Arial" w:hAnsi="Arial" w:cs="Arial"/>
        </w:rPr>
        <w:t xml:space="preserve"> администрации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Волгоградской области </w:t>
      </w:r>
      <w:r w:rsidRPr="00172257">
        <w:rPr>
          <w:rFonts w:ascii="Arial" w:hAnsi="Arial" w:cs="Arial"/>
        </w:rPr>
        <w:t xml:space="preserve">(Иванова Н.В.) </w:t>
      </w:r>
      <w:proofErr w:type="gramStart"/>
      <w:r w:rsidRPr="00172257">
        <w:rPr>
          <w:rFonts w:ascii="Arial" w:hAnsi="Arial" w:cs="Arial"/>
        </w:rPr>
        <w:t>разместить</w:t>
      </w:r>
      <w:proofErr w:type="gramEnd"/>
      <w:r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Pr="00172257">
        <w:rPr>
          <w:rFonts w:ascii="Arial" w:hAnsi="Arial" w:cs="Arial"/>
        </w:rPr>
        <w:t>Светлоярского</w:t>
      </w:r>
      <w:proofErr w:type="spellEnd"/>
      <w:r w:rsidRPr="0017225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Pr="00172257">
        <w:rPr>
          <w:rFonts w:ascii="Arial" w:hAnsi="Arial" w:cs="Arial"/>
        </w:rPr>
        <w:t>.</w:t>
      </w:r>
    </w:p>
    <w:p w:rsidR="007866FD" w:rsidRDefault="007866FD" w:rsidP="007866FD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7866FD" w:rsidRPr="00F37BCE" w:rsidRDefault="00A35506" w:rsidP="00F37BCE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BCE">
        <w:rPr>
          <w:rFonts w:ascii="Arial" w:hAnsi="Arial" w:cs="Arial"/>
          <w:sz w:val="24"/>
          <w:szCs w:val="24"/>
        </w:rPr>
        <w:t xml:space="preserve">. </w:t>
      </w:r>
      <w:r w:rsidR="007866FD" w:rsidRPr="00F37BCE">
        <w:rPr>
          <w:rFonts w:ascii="Arial" w:hAnsi="Arial" w:cs="Arial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="007866FD" w:rsidRPr="00F37BCE">
        <w:rPr>
          <w:rFonts w:ascii="Arial" w:hAnsi="Arial" w:cs="Arial"/>
          <w:sz w:val="24"/>
          <w:szCs w:val="24"/>
        </w:rPr>
        <w:t>разместить</w:t>
      </w:r>
      <w:proofErr w:type="gramEnd"/>
      <w:r w:rsidR="007866FD" w:rsidRPr="00F37BCE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7866FD" w:rsidRPr="00F37B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866FD" w:rsidRPr="00F37BC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37BCE" w:rsidRDefault="00F37BCE" w:rsidP="00F37BCE">
      <w:pPr>
        <w:tabs>
          <w:tab w:val="left" w:pos="1134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866FD" w:rsidRDefault="00A35506" w:rsidP="004E0FA4">
      <w:pPr>
        <w:pStyle w:val="31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866FD">
        <w:rPr>
          <w:rFonts w:ascii="Arial" w:hAnsi="Arial" w:cs="Arial"/>
        </w:rPr>
        <w:t xml:space="preserve">. </w:t>
      </w:r>
      <w:r w:rsidR="007866FD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="007866FD" w:rsidRPr="007E1F96">
        <w:rPr>
          <w:rFonts w:ascii="Arial" w:hAnsi="Arial" w:cs="Arial"/>
        </w:rPr>
        <w:t xml:space="preserve">возложить на начальника отдела бюджетно-финансовой политики </w:t>
      </w:r>
      <w:r w:rsidR="007866FD">
        <w:rPr>
          <w:rFonts w:ascii="Arial" w:hAnsi="Arial" w:cs="Arial"/>
        </w:rPr>
        <w:t>администрации</w:t>
      </w:r>
      <w:r w:rsidR="004E0FA4">
        <w:rPr>
          <w:rFonts w:ascii="Arial" w:hAnsi="Arial" w:cs="Arial"/>
        </w:rPr>
        <w:t xml:space="preserve"> </w:t>
      </w:r>
      <w:r w:rsidR="007866FD">
        <w:rPr>
          <w:rFonts w:ascii="Arial" w:hAnsi="Arial" w:cs="Arial"/>
        </w:rPr>
        <w:t xml:space="preserve"> </w:t>
      </w:r>
      <w:proofErr w:type="spellStart"/>
      <w:r w:rsidR="007866FD" w:rsidRPr="00172257">
        <w:rPr>
          <w:rFonts w:ascii="Arial" w:hAnsi="Arial" w:cs="Arial"/>
        </w:rPr>
        <w:t>Светлоярского</w:t>
      </w:r>
      <w:proofErr w:type="spellEnd"/>
      <w:r w:rsidR="007866FD" w:rsidRPr="00172257">
        <w:rPr>
          <w:rFonts w:ascii="Arial" w:hAnsi="Arial" w:cs="Arial"/>
        </w:rPr>
        <w:t xml:space="preserve"> муниципального района </w:t>
      </w:r>
      <w:r w:rsidR="00037802">
        <w:rPr>
          <w:rFonts w:ascii="Arial" w:hAnsi="Arial" w:cs="Arial"/>
        </w:rPr>
        <w:t xml:space="preserve">Волгоградской области </w:t>
      </w:r>
      <w:proofErr w:type="spellStart"/>
      <w:r w:rsidR="007866FD">
        <w:rPr>
          <w:rFonts w:ascii="Arial" w:hAnsi="Arial" w:cs="Arial"/>
        </w:rPr>
        <w:t>Подхватилин</w:t>
      </w:r>
      <w:r w:rsidR="007866FD" w:rsidRPr="007E1F96">
        <w:rPr>
          <w:rFonts w:ascii="Arial" w:hAnsi="Arial" w:cs="Arial"/>
        </w:rPr>
        <w:t>у</w:t>
      </w:r>
      <w:proofErr w:type="spellEnd"/>
      <w:r w:rsidR="00037802">
        <w:rPr>
          <w:rFonts w:ascii="Arial" w:hAnsi="Arial" w:cs="Arial"/>
        </w:rPr>
        <w:t xml:space="preserve"> О.И.</w:t>
      </w:r>
    </w:p>
    <w:p w:rsidR="00AC6F50" w:rsidRDefault="00AC6F50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4E0FA4" w:rsidRPr="00172257" w:rsidRDefault="004E0FA4" w:rsidP="007866FD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346EC0" w:rsidRDefault="002C2DA1" w:rsidP="00346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46EC0">
        <w:rPr>
          <w:rFonts w:ascii="Arial" w:hAnsi="Arial" w:cs="Arial"/>
          <w:sz w:val="24"/>
          <w:szCs w:val="24"/>
        </w:rPr>
        <w:t xml:space="preserve"> </w:t>
      </w:r>
      <w:r w:rsidR="00456029" w:rsidRPr="00456029">
        <w:rPr>
          <w:rFonts w:ascii="Arial" w:hAnsi="Arial" w:cs="Arial"/>
          <w:sz w:val="24"/>
          <w:szCs w:val="24"/>
        </w:rPr>
        <w:t xml:space="preserve">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854DAB" w:rsidRDefault="00854DAB" w:rsidP="00346E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17" w:rsidRDefault="00175217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BCE" w:rsidRDefault="00F37BCE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506" w:rsidRDefault="00A35506" w:rsidP="000378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0E0" w:rsidRDefault="00346EC0" w:rsidP="00A3550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А</w:t>
      </w:r>
      <w:r w:rsidR="00456029">
        <w:rPr>
          <w:rFonts w:ascii="Arial" w:hAnsi="Arial" w:cs="Arial"/>
          <w:sz w:val="20"/>
          <w:szCs w:val="20"/>
        </w:rPr>
        <w:t>браменко Е.Н.</w:t>
      </w:r>
    </w:p>
    <w:p w:rsidR="00C81131" w:rsidRDefault="00C81131" w:rsidP="008B3B0D">
      <w:pPr>
        <w:spacing w:after="0" w:line="240" w:lineRule="auto"/>
        <w:sectPr w:rsidR="00C81131" w:rsidSect="00A35506">
          <w:headerReference w:type="default" r:id="rId10"/>
          <w:headerReference w:type="first" r:id="rId11"/>
          <w:pgSz w:w="11905" w:h="16838"/>
          <w:pgMar w:top="1134" w:right="1134" w:bottom="1134" w:left="1701" w:header="0" w:footer="0" w:gutter="0"/>
          <w:pgNumType w:start="1"/>
          <w:cols w:space="720"/>
          <w:titlePg/>
          <w:docGrid w:linePitch="299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4677"/>
      </w:tblGrid>
      <w:tr w:rsidR="00A92BE6" w:rsidTr="0094734E">
        <w:trPr>
          <w:trHeight w:val="997"/>
        </w:trPr>
        <w:tc>
          <w:tcPr>
            <w:tcW w:w="10173" w:type="dxa"/>
          </w:tcPr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4734E" w:rsidRDefault="00947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Style w:val="ab"/>
              <w:tblW w:w="17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9"/>
              <w:gridCol w:w="1921"/>
            </w:tblGrid>
            <w:tr w:rsidR="0094734E" w:rsidTr="0094734E">
              <w:tc>
                <w:tcPr>
                  <w:tcW w:w="15309" w:type="dxa"/>
                </w:tcPr>
                <w:p w:rsidR="0094734E" w:rsidRPr="00C81131" w:rsidRDefault="0094734E" w:rsidP="008311D0">
                  <w:pPr>
                    <w:tabs>
                      <w:tab w:val="left" w:pos="2925"/>
                    </w:tabs>
                  </w:pPr>
                </w:p>
              </w:tc>
              <w:tc>
                <w:tcPr>
                  <w:tcW w:w="1921" w:type="dxa"/>
                </w:tcPr>
                <w:p w:rsidR="0094734E" w:rsidRDefault="0094734E" w:rsidP="008311D0">
                  <w:pPr>
                    <w:pStyle w:val="ConsPlusNormal"/>
                    <w:ind w:firstLine="0"/>
                    <w:outlineLvl w:val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2BE6" w:rsidRPr="00C81131" w:rsidRDefault="0094734E" w:rsidP="0094734E">
            <w:pPr>
              <w:pStyle w:val="FORMATTEXT0"/>
              <w:ind w:right="-598" w:hanging="42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4677" w:type="dxa"/>
          </w:tcPr>
          <w:p w:rsidR="0094734E" w:rsidRDefault="001C093F" w:rsidP="001C093F">
            <w:pPr>
              <w:pStyle w:val="ConsPlusNormal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94734E" w:rsidRDefault="001C093F" w:rsidP="0094734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94734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="0094734E">
              <w:rPr>
                <w:sz w:val="22"/>
                <w:szCs w:val="22"/>
              </w:rPr>
              <w:t xml:space="preserve"> администрации      </w:t>
            </w:r>
            <w:r w:rsidR="0094734E" w:rsidRPr="00B85426">
              <w:rPr>
                <w:sz w:val="22"/>
                <w:szCs w:val="22"/>
              </w:rPr>
              <w:t xml:space="preserve"> </w:t>
            </w:r>
            <w:proofErr w:type="spellStart"/>
            <w:r w:rsidR="0094734E">
              <w:rPr>
                <w:sz w:val="22"/>
                <w:szCs w:val="22"/>
              </w:rPr>
              <w:t>Светлоярского</w:t>
            </w:r>
            <w:proofErr w:type="spellEnd"/>
            <w:r w:rsidR="0094734E">
              <w:rPr>
                <w:sz w:val="22"/>
                <w:szCs w:val="22"/>
              </w:rPr>
              <w:t xml:space="preserve"> муниципального района </w:t>
            </w:r>
          </w:p>
          <w:p w:rsidR="00A92BE6" w:rsidRDefault="0094734E" w:rsidP="00F7273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72733">
              <w:rPr>
                <w:sz w:val="22"/>
                <w:szCs w:val="22"/>
              </w:rPr>
              <w:t>30.12.2019</w:t>
            </w:r>
            <w:r>
              <w:rPr>
                <w:sz w:val="22"/>
                <w:szCs w:val="22"/>
              </w:rPr>
              <w:t xml:space="preserve">  № </w:t>
            </w:r>
            <w:r w:rsidR="00F72733">
              <w:rPr>
                <w:sz w:val="22"/>
                <w:szCs w:val="22"/>
              </w:rPr>
              <w:t>2747</w:t>
            </w:r>
            <w:bookmarkStart w:id="0" w:name="_GoBack"/>
            <w:bookmarkEnd w:id="0"/>
          </w:p>
        </w:tc>
      </w:tr>
    </w:tbl>
    <w:p w:rsidR="006C6403" w:rsidRDefault="0094734E" w:rsidP="006C6403">
      <w:pPr>
        <w:pStyle w:val="ConsPlusNormal"/>
        <w:jc w:val="center"/>
        <w:rPr>
          <w:rFonts w:eastAsia="Calibri"/>
          <w:szCs w:val="22"/>
        </w:rPr>
      </w:pPr>
      <w:r>
        <w:rPr>
          <w:szCs w:val="22"/>
        </w:rPr>
        <w:t>Б</w:t>
      </w:r>
      <w:r w:rsidR="006C6403" w:rsidRPr="002B199D">
        <w:rPr>
          <w:szCs w:val="22"/>
        </w:rPr>
        <w:t xml:space="preserve">азовые нормативы затрат </w:t>
      </w:r>
      <w:r w:rsidR="006C6403" w:rsidRPr="002B199D">
        <w:rPr>
          <w:rFonts w:eastAsia="Calibri"/>
          <w:szCs w:val="22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="006C6403" w:rsidRPr="002B199D">
        <w:rPr>
          <w:rFonts w:eastAsia="Calibri"/>
          <w:szCs w:val="22"/>
        </w:rPr>
        <w:t>Светлоярского</w:t>
      </w:r>
      <w:proofErr w:type="spellEnd"/>
      <w:r w:rsidR="006C6403"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="006C6403" w:rsidRPr="002B199D">
        <w:rPr>
          <w:rFonts w:eastAsia="Calibri"/>
          <w:szCs w:val="22"/>
        </w:rPr>
        <w:t>Светлоярского</w:t>
      </w:r>
      <w:proofErr w:type="spellEnd"/>
      <w:r w:rsidR="006C6403" w:rsidRPr="002B199D">
        <w:rPr>
          <w:rFonts w:eastAsia="Calibri"/>
          <w:szCs w:val="22"/>
        </w:rPr>
        <w:t xml:space="preserve"> городского поселения) за счет средств бюджета </w:t>
      </w:r>
      <w:proofErr w:type="spellStart"/>
      <w:r w:rsidR="006C6403" w:rsidRPr="002B199D">
        <w:rPr>
          <w:rFonts w:eastAsia="Calibri"/>
          <w:szCs w:val="22"/>
        </w:rPr>
        <w:t>Светлоярского</w:t>
      </w:r>
      <w:proofErr w:type="spellEnd"/>
      <w:r w:rsidR="006C6403"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="006C6403" w:rsidRPr="002B199D">
        <w:rPr>
          <w:rFonts w:eastAsia="Calibri"/>
          <w:szCs w:val="22"/>
        </w:rPr>
        <w:t>Светлоярского</w:t>
      </w:r>
      <w:proofErr w:type="spellEnd"/>
      <w:r w:rsidR="006C6403" w:rsidRPr="002B199D">
        <w:rPr>
          <w:rFonts w:eastAsia="Calibri"/>
          <w:szCs w:val="22"/>
        </w:rPr>
        <w:t xml:space="preserve"> городского поселения) на 201</w:t>
      </w:r>
      <w:r w:rsidR="006C6403">
        <w:rPr>
          <w:rFonts w:eastAsia="Calibri"/>
          <w:szCs w:val="22"/>
        </w:rPr>
        <w:t>9</w:t>
      </w:r>
      <w:r w:rsidR="006C6403" w:rsidRPr="002B199D">
        <w:rPr>
          <w:rFonts w:eastAsia="Calibri"/>
          <w:szCs w:val="22"/>
        </w:rPr>
        <w:t xml:space="preserve"> год</w:t>
      </w:r>
    </w:p>
    <w:p w:rsidR="006C6403" w:rsidRPr="002B199D" w:rsidRDefault="006C6403" w:rsidP="006C6403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b"/>
        <w:tblW w:w="15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1134"/>
        <w:gridCol w:w="851"/>
        <w:gridCol w:w="991"/>
        <w:gridCol w:w="709"/>
        <w:gridCol w:w="849"/>
        <w:gridCol w:w="1134"/>
        <w:gridCol w:w="851"/>
        <w:gridCol w:w="709"/>
        <w:gridCol w:w="851"/>
        <w:gridCol w:w="846"/>
        <w:gridCol w:w="712"/>
        <w:gridCol w:w="996"/>
        <w:gridCol w:w="851"/>
      </w:tblGrid>
      <w:tr w:rsidR="006C6403" w:rsidRPr="002B199D" w:rsidTr="008E5760">
        <w:tc>
          <w:tcPr>
            <w:tcW w:w="1419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701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1134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1134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6C6403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400" w:type="dxa"/>
            <w:gridSpan w:val="4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50" w:type="dxa"/>
            <w:gridSpan w:val="8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6C6403" w:rsidRPr="002B199D" w:rsidTr="008E5760">
        <w:tc>
          <w:tcPr>
            <w:tcW w:w="1419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8E5760">
              <w:rPr>
                <w:szCs w:val="22"/>
                <w:lang w:val="en-US"/>
              </w:rPr>
              <w:t>NN</w:t>
            </w:r>
          </w:p>
        </w:tc>
        <w:tc>
          <w:tcPr>
            <w:tcW w:w="991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E5760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</w:p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E5760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E5760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E5760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8E5760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E5760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E5760">
              <w:rPr>
                <w:color w:val="052635"/>
                <w:szCs w:val="22"/>
                <w:shd w:val="clear" w:color="auto" w:fill="FFFFFF"/>
              </w:rPr>
              <w:t xml:space="preserve"> </w:t>
            </w:r>
          </w:p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8E5760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E5760">
              <w:rPr>
                <w:rFonts w:ascii="Arial" w:hAnsi="Arial" w:cs="Arial"/>
                <w:bCs/>
                <w:color w:val="000000"/>
              </w:rPr>
              <w:t>N</w:t>
            </w:r>
            <w:proofErr w:type="gramEnd"/>
            <w:r w:rsidRPr="008E5760">
              <w:rPr>
                <w:rFonts w:ascii="Arial" w:hAnsi="Arial" w:cs="Arial"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6C6403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</w:p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ку</w:t>
            </w:r>
          </w:p>
        </w:tc>
        <w:tc>
          <w:tcPr>
            <w:tcW w:w="709" w:type="dxa"/>
            <w:vAlign w:val="center"/>
          </w:tcPr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6C6403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</w:t>
            </w:r>
          </w:p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 ус</w:t>
            </w:r>
          </w:p>
        </w:tc>
        <w:tc>
          <w:tcPr>
            <w:tcW w:w="712" w:type="dxa"/>
            <w:vAlign w:val="center"/>
          </w:tcPr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996" w:type="dxa"/>
            <w:vAlign w:val="center"/>
          </w:tcPr>
          <w:p w:rsidR="006C6403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</w:t>
            </w:r>
          </w:p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6C6403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</w:t>
            </w:r>
          </w:p>
          <w:p w:rsidR="006C6403" w:rsidRPr="002B199D" w:rsidRDefault="006C6403" w:rsidP="006C6403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6C6403" w:rsidRPr="002B199D" w:rsidTr="008E5760">
        <w:tc>
          <w:tcPr>
            <w:tcW w:w="1419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70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1134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1134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851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E5760">
              <w:rPr>
                <w:szCs w:val="22"/>
              </w:rPr>
              <w:t>5</w:t>
            </w:r>
          </w:p>
        </w:tc>
        <w:tc>
          <w:tcPr>
            <w:tcW w:w="991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E5760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E5760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E5760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E5760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709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12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6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6C6403" w:rsidRPr="0015104A" w:rsidTr="008E5760">
        <w:trPr>
          <w:trHeight w:val="1612"/>
        </w:trPr>
        <w:tc>
          <w:tcPr>
            <w:tcW w:w="1419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17.021.1.001.000.000.01.00.5.1.00</w:t>
            </w:r>
          </w:p>
        </w:tc>
        <w:tc>
          <w:tcPr>
            <w:tcW w:w="1701" w:type="dxa"/>
          </w:tcPr>
          <w:p w:rsidR="006C6403" w:rsidRPr="0015104A" w:rsidRDefault="006C6403" w:rsidP="006C6403">
            <w:pPr>
              <w:pStyle w:val="ConsPlusNormal"/>
              <w:ind w:left="33" w:firstLine="0"/>
              <w:jc w:val="center"/>
            </w:pPr>
            <w:r w:rsidRPr="0015104A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По мере необходимости</w:t>
            </w:r>
          </w:p>
        </w:tc>
        <w:tc>
          <w:tcPr>
            <w:tcW w:w="1134" w:type="dxa"/>
          </w:tcPr>
          <w:p w:rsidR="006C6403" w:rsidRPr="008E5760" w:rsidRDefault="006C6403" w:rsidP="006C6403">
            <w:pPr>
              <w:pStyle w:val="ConsPlusNormal"/>
              <w:ind w:right="-108" w:hanging="109"/>
              <w:jc w:val="center"/>
            </w:pPr>
            <w:r w:rsidRPr="008E5760">
              <w:t>392,46</w:t>
            </w:r>
          </w:p>
        </w:tc>
        <w:tc>
          <w:tcPr>
            <w:tcW w:w="851" w:type="dxa"/>
          </w:tcPr>
          <w:p w:rsidR="006C6403" w:rsidRPr="008E5760" w:rsidRDefault="006C6403" w:rsidP="006C6403">
            <w:pPr>
              <w:pStyle w:val="ConsPlusNormal"/>
              <w:ind w:left="-108" w:right="-108" w:firstLine="1"/>
              <w:jc w:val="center"/>
            </w:pPr>
            <w:r w:rsidRPr="008E5760">
              <w:t>392,46</w:t>
            </w:r>
          </w:p>
        </w:tc>
        <w:tc>
          <w:tcPr>
            <w:tcW w:w="991" w:type="dxa"/>
          </w:tcPr>
          <w:p w:rsidR="006C6403" w:rsidRPr="008E5760" w:rsidRDefault="006C6403" w:rsidP="006C6403">
            <w:pPr>
              <w:pStyle w:val="ConsPlusNormal"/>
              <w:ind w:right="-108" w:hanging="108"/>
              <w:jc w:val="center"/>
            </w:pPr>
            <w:r w:rsidRPr="008E5760">
              <w:t>392,46</w:t>
            </w:r>
          </w:p>
        </w:tc>
        <w:tc>
          <w:tcPr>
            <w:tcW w:w="709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</w:pPr>
            <w:r w:rsidRPr="008E5760">
              <w:t>-</w:t>
            </w:r>
          </w:p>
        </w:tc>
        <w:tc>
          <w:tcPr>
            <w:tcW w:w="849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</w:pPr>
            <w:r w:rsidRPr="008E5760">
              <w:t>-</w:t>
            </w:r>
          </w:p>
        </w:tc>
        <w:tc>
          <w:tcPr>
            <w:tcW w:w="1134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</w:pPr>
            <w:r w:rsidRPr="008E5760">
              <w:t>-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right="-103" w:hanging="108"/>
              <w:jc w:val="center"/>
            </w:pPr>
            <w:r>
              <w:t>-</w:t>
            </w:r>
          </w:p>
        </w:tc>
      </w:tr>
      <w:tr w:rsidR="006C6403" w:rsidRPr="0015104A" w:rsidTr="008E5760">
        <w:tc>
          <w:tcPr>
            <w:tcW w:w="1419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17.002.1.006.000.000.01.00.3.1.00</w:t>
            </w:r>
          </w:p>
        </w:tc>
        <w:tc>
          <w:tcPr>
            <w:tcW w:w="170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134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По мере необходимости</w:t>
            </w:r>
          </w:p>
        </w:tc>
        <w:tc>
          <w:tcPr>
            <w:tcW w:w="1134" w:type="dxa"/>
          </w:tcPr>
          <w:p w:rsidR="006C6403" w:rsidRPr="008E5760" w:rsidRDefault="006C6403" w:rsidP="006C6403">
            <w:pPr>
              <w:pStyle w:val="ConsPlusNormal"/>
              <w:ind w:right="-108" w:hanging="108"/>
              <w:jc w:val="center"/>
            </w:pPr>
            <w:r w:rsidRPr="008E5760">
              <w:t>6542,06</w:t>
            </w:r>
          </w:p>
        </w:tc>
        <w:tc>
          <w:tcPr>
            <w:tcW w:w="851" w:type="dxa"/>
          </w:tcPr>
          <w:p w:rsidR="006C6403" w:rsidRPr="008E5760" w:rsidRDefault="006C6403" w:rsidP="006C6403">
            <w:pPr>
              <w:pStyle w:val="ConsPlusNormal"/>
              <w:ind w:right="-108" w:hanging="107"/>
              <w:jc w:val="center"/>
            </w:pPr>
            <w:r w:rsidRPr="008E5760">
              <w:t>6542,06</w:t>
            </w:r>
          </w:p>
        </w:tc>
        <w:tc>
          <w:tcPr>
            <w:tcW w:w="991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</w:pPr>
            <w:r w:rsidRPr="008E5760">
              <w:t>-</w:t>
            </w:r>
          </w:p>
        </w:tc>
        <w:tc>
          <w:tcPr>
            <w:tcW w:w="709" w:type="dxa"/>
          </w:tcPr>
          <w:p w:rsidR="006C6403" w:rsidRPr="008E5760" w:rsidRDefault="006C6403" w:rsidP="006C6403">
            <w:pPr>
              <w:pStyle w:val="ConsPlusNormal"/>
              <w:ind w:left="-109" w:right="-107" w:firstLine="0"/>
              <w:jc w:val="center"/>
            </w:pPr>
            <w:r w:rsidRPr="008E5760">
              <w:t>975,7</w:t>
            </w:r>
          </w:p>
        </w:tc>
        <w:tc>
          <w:tcPr>
            <w:tcW w:w="849" w:type="dxa"/>
          </w:tcPr>
          <w:p w:rsidR="006C6403" w:rsidRPr="008E5760" w:rsidRDefault="006C6403" w:rsidP="006C6403">
            <w:pPr>
              <w:pStyle w:val="ConsPlusNormal"/>
              <w:ind w:right="-108" w:hanging="109"/>
              <w:jc w:val="center"/>
            </w:pPr>
            <w:r w:rsidRPr="008E5760">
              <w:t>5566,36</w:t>
            </w:r>
          </w:p>
        </w:tc>
        <w:tc>
          <w:tcPr>
            <w:tcW w:w="1134" w:type="dxa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</w:pPr>
            <w:r w:rsidRPr="008E5760">
              <w:t>-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46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712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</w:tr>
      <w:tr w:rsidR="006C6403" w:rsidRPr="0015104A" w:rsidTr="008E5760">
        <w:tc>
          <w:tcPr>
            <w:tcW w:w="1419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04.001.1.001.000.000.01.00.7.1.01</w:t>
            </w:r>
          </w:p>
        </w:tc>
        <w:tc>
          <w:tcPr>
            <w:tcW w:w="1701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Осуществление издательской деятельности</w:t>
            </w:r>
          </w:p>
        </w:tc>
        <w:tc>
          <w:tcPr>
            <w:tcW w:w="1134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газеты (количество печатных страниц)</w:t>
            </w:r>
          </w:p>
        </w:tc>
        <w:tc>
          <w:tcPr>
            <w:tcW w:w="1134" w:type="dxa"/>
          </w:tcPr>
          <w:p w:rsidR="006C6403" w:rsidRPr="008E5760" w:rsidRDefault="006C6403" w:rsidP="006C6403">
            <w:pPr>
              <w:pStyle w:val="ConsPlusNormal"/>
              <w:ind w:right="-109" w:hanging="108"/>
              <w:jc w:val="center"/>
            </w:pPr>
            <w:r w:rsidRPr="008E5760">
              <w:t>2,12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right="-108" w:hanging="107"/>
              <w:jc w:val="center"/>
            </w:pPr>
            <w:r>
              <w:t>1,57</w:t>
            </w:r>
          </w:p>
        </w:tc>
        <w:tc>
          <w:tcPr>
            <w:tcW w:w="991" w:type="dxa"/>
          </w:tcPr>
          <w:p w:rsidR="006C6403" w:rsidRPr="0015104A" w:rsidRDefault="006C6403" w:rsidP="006C6403">
            <w:pPr>
              <w:pStyle w:val="ConsPlusNormal"/>
              <w:ind w:right="-108" w:hanging="108"/>
              <w:jc w:val="center"/>
            </w:pPr>
            <w:r>
              <w:t>0,78</w:t>
            </w:r>
          </w:p>
        </w:tc>
        <w:tc>
          <w:tcPr>
            <w:tcW w:w="709" w:type="dxa"/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0,04</w:t>
            </w:r>
          </w:p>
        </w:tc>
        <w:tc>
          <w:tcPr>
            <w:tcW w:w="849" w:type="dxa"/>
          </w:tcPr>
          <w:p w:rsidR="006C6403" w:rsidRPr="0015104A" w:rsidRDefault="006C6403" w:rsidP="006C6403">
            <w:pPr>
              <w:pStyle w:val="ConsPlusNormal"/>
              <w:ind w:right="-108" w:hanging="109"/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6C6403" w:rsidRPr="0015104A" w:rsidRDefault="006C6403" w:rsidP="006C6403">
            <w:pPr>
              <w:pStyle w:val="ConsPlusNormal"/>
              <w:ind w:right="-108" w:hanging="108"/>
              <w:jc w:val="center"/>
            </w:pPr>
            <w:r>
              <w:t>0,55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right="-107" w:hanging="108"/>
              <w:jc w:val="center"/>
            </w:pPr>
            <w:r>
              <w:t>0,04</w:t>
            </w:r>
          </w:p>
        </w:tc>
        <w:tc>
          <w:tcPr>
            <w:tcW w:w="709" w:type="dxa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46" w:type="dxa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12" w:type="dxa"/>
          </w:tcPr>
          <w:p w:rsidR="006C6403" w:rsidRPr="0015104A" w:rsidRDefault="006C6403" w:rsidP="006C6403">
            <w:pPr>
              <w:rPr>
                <w:rFonts w:ascii="Arial" w:hAnsi="Arial" w:cs="Arial"/>
              </w:rPr>
            </w:pPr>
            <w:r w:rsidRPr="0015104A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</w:tcPr>
          <w:p w:rsidR="006C6403" w:rsidRPr="0015104A" w:rsidRDefault="006C6403" w:rsidP="006C6403">
            <w:pPr>
              <w:pStyle w:val="ConsPlusNormal"/>
              <w:ind w:right="-108" w:hanging="105"/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6C6403" w:rsidRPr="0015104A" w:rsidRDefault="006C6403" w:rsidP="006C6403">
            <w:pPr>
              <w:pStyle w:val="ConsPlusNormal"/>
              <w:ind w:right="-103" w:hanging="108"/>
              <w:jc w:val="center"/>
            </w:pPr>
            <w:r>
              <w:t>0,18</w:t>
            </w:r>
          </w:p>
        </w:tc>
      </w:tr>
    </w:tbl>
    <w:tbl>
      <w:tblPr>
        <w:tblStyle w:val="11"/>
        <w:tblW w:w="15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851"/>
        <w:gridCol w:w="1134"/>
        <w:gridCol w:w="993"/>
        <w:gridCol w:w="991"/>
        <w:gridCol w:w="709"/>
        <w:gridCol w:w="849"/>
        <w:gridCol w:w="1134"/>
        <w:gridCol w:w="851"/>
        <w:gridCol w:w="709"/>
        <w:gridCol w:w="851"/>
        <w:gridCol w:w="846"/>
        <w:gridCol w:w="712"/>
        <w:gridCol w:w="996"/>
        <w:gridCol w:w="851"/>
      </w:tblGrid>
      <w:tr w:rsidR="006C6403" w:rsidRPr="002B199D" w:rsidTr="006C6403">
        <w:tc>
          <w:tcPr>
            <w:tcW w:w="1419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1134" w:type="dxa"/>
            <w:vMerge w:val="restart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542" w:type="dxa"/>
            <w:gridSpan w:val="4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50" w:type="dxa"/>
            <w:gridSpan w:val="8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6C6403" w:rsidRPr="002B199D" w:rsidTr="006C6403">
        <w:tc>
          <w:tcPr>
            <w:tcW w:w="1419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  <w:lang w:val="en-US"/>
              </w:rPr>
            </w:pPr>
            <w:r w:rsidRPr="008E5760">
              <w:rPr>
                <w:szCs w:val="22"/>
                <w:lang w:val="en-US"/>
              </w:rPr>
              <w:t>NN</w:t>
            </w:r>
          </w:p>
        </w:tc>
        <w:tc>
          <w:tcPr>
            <w:tcW w:w="991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E5760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E5760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8E5760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E5760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8E5760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6C6403" w:rsidRPr="008E5760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8E5760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8E5760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8E5760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8E57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8E57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851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О ку</w:t>
            </w:r>
          </w:p>
        </w:tc>
        <w:tc>
          <w:tcPr>
            <w:tcW w:w="709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О ус</w:t>
            </w:r>
          </w:p>
        </w:tc>
        <w:tc>
          <w:tcPr>
            <w:tcW w:w="712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О ту</w:t>
            </w:r>
          </w:p>
        </w:tc>
        <w:tc>
          <w:tcPr>
            <w:tcW w:w="996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NО от</w:t>
            </w:r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6C6403" w:rsidRPr="008E5760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 xml:space="preserve">NО </w:t>
            </w:r>
            <w:proofErr w:type="spellStart"/>
            <w:proofErr w:type="gramStart"/>
            <w:r w:rsidRPr="008E5760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6C6403" w:rsidRPr="002B199D" w:rsidTr="006C6403">
        <w:tc>
          <w:tcPr>
            <w:tcW w:w="1419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1134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99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709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12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996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6C6403" w:rsidRPr="002B199D" w:rsidRDefault="006C6403" w:rsidP="006C640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6C6403" w:rsidRPr="0015104A" w:rsidTr="006C6403">
        <w:trPr>
          <w:trHeight w:val="3321"/>
        </w:trPr>
        <w:tc>
          <w:tcPr>
            <w:tcW w:w="1419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16.001.1.001.002.000.01.00.7.1.00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tabs>
                <w:tab w:val="left" w:pos="1593"/>
              </w:tabs>
              <w:ind w:left="-108" w:firstLine="0"/>
              <w:jc w:val="center"/>
            </w:pPr>
            <w:r w:rsidRPr="0015104A">
              <w:t>Осуществление функций заказчика застройщика за производством строительства, реконструкции, технического перевооружения, капитального и текущего ремонта объектов, являющихся муниципальной собственностью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 xml:space="preserve">Постоянно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403" w:rsidRPr="008E5760" w:rsidRDefault="006C6403" w:rsidP="006C6403">
            <w:pPr>
              <w:pStyle w:val="ConsPlusNormal"/>
              <w:ind w:right="-109" w:hanging="108"/>
              <w:jc w:val="center"/>
            </w:pPr>
            <w:r w:rsidRPr="008E5760">
              <w:t>61607,89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8" w:hanging="107"/>
              <w:jc w:val="center"/>
            </w:pPr>
            <w:r>
              <w:t>36402,03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hanging="108"/>
              <w:jc w:val="center"/>
            </w:pPr>
            <w:r>
              <w:t>36402,03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8" w:hanging="108"/>
              <w:jc w:val="center"/>
            </w:pPr>
            <w:r>
              <w:t>25205,86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7" w:hanging="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8" w:hanging="109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7" w:firstLine="0"/>
              <w:jc w:val="center"/>
            </w:pPr>
            <w: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12" w:hanging="109"/>
              <w:jc w:val="center"/>
            </w:pPr>
            <w: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8" w:hanging="104"/>
              <w:jc w:val="center"/>
            </w:pPr>
            <w:r>
              <w:t>25205,86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right="-103" w:hanging="108"/>
              <w:jc w:val="center"/>
            </w:pPr>
            <w:r>
              <w:t>-</w:t>
            </w:r>
          </w:p>
        </w:tc>
      </w:tr>
      <w:tr w:rsidR="006C6403" w:rsidRPr="002B199D" w:rsidTr="006C6403">
        <w:trPr>
          <w:trHeight w:val="1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E61CDB" w:rsidRDefault="006C6403" w:rsidP="006C6403">
            <w:pPr>
              <w:pStyle w:val="ConsPlusNormal"/>
              <w:ind w:firstLine="0"/>
              <w:jc w:val="center"/>
            </w:pPr>
            <w:r w:rsidRPr="00E61CDB">
              <w:t>15.002.1.001.000.000.01.00.2.1.03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left="-108" w:right="-108" w:firstLine="0"/>
              <w:jc w:val="center"/>
            </w:pPr>
            <w:r w:rsidRPr="002B3DAC">
              <w:t>Организация благоустройства и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left="-108" w:right="-108" w:firstLine="0"/>
              <w:jc w:val="center"/>
            </w:pPr>
            <w:r>
              <w:t xml:space="preserve">Регулярно в течение года </w:t>
            </w:r>
            <w:proofErr w:type="gramStart"/>
            <w:r>
              <w:t>согласно графика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8E5760" w:rsidRDefault="006C6403" w:rsidP="006C6403">
            <w:pPr>
              <w:pStyle w:val="ConsPlusNormal"/>
              <w:ind w:right="-108" w:hanging="109"/>
              <w:jc w:val="center"/>
            </w:pPr>
            <w:r w:rsidRPr="008E5760">
              <w:t>665360,00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08" w:hanging="108"/>
              <w:jc w:val="center"/>
            </w:pPr>
            <w:r>
              <w:t>332169,68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08" w:hanging="108"/>
              <w:jc w:val="center"/>
            </w:pPr>
            <w:r>
              <w:t>332169,68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08" w:hanging="108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left="-107" w:right="-109" w:firstLine="0"/>
              <w:jc w:val="center"/>
            </w:pPr>
            <w:r>
              <w:t>333190,32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08" w:hanging="108"/>
              <w:jc w:val="center"/>
            </w:pPr>
            <w:r>
              <w:t>11632,54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08" w:hanging="108"/>
              <w:jc w:val="center"/>
            </w:pPr>
            <w:r>
              <w:t>2000,00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left="-108" w:right="-113" w:hanging="22"/>
              <w:jc w:val="center"/>
            </w:pPr>
            <w:r>
              <w:t>4453,60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firstLine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12" w:hanging="104"/>
              <w:jc w:val="center"/>
            </w:pPr>
            <w:r>
              <w:t>283138,53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2B3DAC" w:rsidRDefault="006C6403" w:rsidP="006C6403">
            <w:pPr>
              <w:pStyle w:val="ConsPlusNormal"/>
              <w:ind w:right="-108" w:hanging="104"/>
              <w:jc w:val="center"/>
            </w:pPr>
            <w:r>
              <w:t>31965,65</w:t>
            </w:r>
          </w:p>
        </w:tc>
      </w:tr>
      <w:tr w:rsidR="006C6403" w:rsidRPr="002B199D" w:rsidTr="006C6403">
        <w:trPr>
          <w:trHeight w:val="15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05.015.1.001.000.000.01.00.8.1.00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left="-108" w:right="-108" w:firstLine="0"/>
              <w:jc w:val="center"/>
            </w:pPr>
            <w:r w:rsidRPr="0015104A"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15104A" w:rsidRDefault="006C6403" w:rsidP="006C6403">
            <w:pPr>
              <w:pStyle w:val="ConsPlusNormal"/>
              <w:ind w:firstLine="0"/>
              <w:jc w:val="center"/>
            </w:pPr>
            <w:r w:rsidRPr="0015104A"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8E5760" w:rsidRDefault="00C87A87" w:rsidP="006C640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7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</w:t>
            </w:r>
            <w:r w:rsidR="006C6403" w:rsidRPr="008E57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47884,44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ind w:left="-109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47884,44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21924,81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ind w:left="-104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21924,81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03" w:rsidRPr="0015104A" w:rsidRDefault="006C6403" w:rsidP="006C64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C6403" w:rsidRDefault="006C6403" w:rsidP="006C6403">
      <w:pPr>
        <w:pStyle w:val="FORMATTEXT0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FC7100" w:rsidRPr="00BE7866" w:rsidRDefault="006C6403" w:rsidP="006C6403">
      <w:pPr>
        <w:pStyle w:val="FORMATTEXT0"/>
        <w:ind w:right="-598" w:hanging="426"/>
        <w:jc w:val="both"/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FC7100" w:rsidRPr="00BE7866" w:rsidSect="003C50E0">
      <w:headerReference w:type="default" r:id="rId12"/>
      <w:pgSz w:w="16838" w:h="11906" w:orient="landscape" w:code="9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4B" w:rsidRDefault="00BD614B" w:rsidP="004151A9">
      <w:pPr>
        <w:spacing w:after="0" w:line="240" w:lineRule="auto"/>
      </w:pPr>
      <w:r>
        <w:separator/>
      </w:r>
    </w:p>
  </w:endnote>
  <w:endnote w:type="continuationSeparator" w:id="0">
    <w:p w:rsidR="00BD614B" w:rsidRDefault="00BD614B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4B" w:rsidRDefault="00BD614B" w:rsidP="004151A9">
      <w:pPr>
        <w:spacing w:after="0" w:line="240" w:lineRule="auto"/>
      </w:pPr>
      <w:r>
        <w:separator/>
      </w:r>
    </w:p>
  </w:footnote>
  <w:footnote w:type="continuationSeparator" w:id="0">
    <w:p w:rsidR="00BD614B" w:rsidRDefault="00BD614B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06" w:rsidRDefault="00A35506">
    <w:pPr>
      <w:pStyle w:val="ae"/>
      <w:jc w:val="center"/>
    </w:pPr>
  </w:p>
  <w:p w:rsidR="00A35506" w:rsidRDefault="00A35506">
    <w:pPr>
      <w:pStyle w:val="ae"/>
    </w:pPr>
  </w:p>
  <w:p w:rsidR="00A35506" w:rsidRDefault="00A35506" w:rsidP="00A35506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7A7615" w:rsidRDefault="006C6403">
    <w:pPr>
      <w:pStyle w:val="ae"/>
      <w:jc w:val="center"/>
      <w:rPr>
        <w:sz w:val="20"/>
        <w:szCs w:val="20"/>
      </w:rPr>
    </w:pPr>
  </w:p>
  <w:p w:rsidR="006C6403" w:rsidRPr="007A7615" w:rsidRDefault="006C6403" w:rsidP="007A76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00016"/>
      <w:docPartObj>
        <w:docPartGallery w:val="Page Numbers (Top of Page)"/>
        <w:docPartUnique/>
      </w:docPartObj>
    </w:sdtPr>
    <w:sdtEndPr/>
    <w:sdtContent>
      <w:p w:rsidR="006C6403" w:rsidRDefault="006C64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33">
          <w:rPr>
            <w:noProof/>
          </w:rPr>
          <w:t>2</w:t>
        </w:r>
        <w:r>
          <w:fldChar w:fldCharType="end"/>
        </w:r>
      </w:p>
    </w:sdtContent>
  </w:sdt>
  <w:p w:rsidR="006C6403" w:rsidRDefault="006C64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9505FF2"/>
    <w:multiLevelType w:val="hybridMultilevel"/>
    <w:tmpl w:val="2274368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23BB794F"/>
    <w:multiLevelType w:val="hybridMultilevel"/>
    <w:tmpl w:val="5630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66DFD"/>
    <w:multiLevelType w:val="hybridMultilevel"/>
    <w:tmpl w:val="722A3228"/>
    <w:lvl w:ilvl="0" w:tplc="6A6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1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7"/>
  </w:num>
  <w:num w:numId="11">
    <w:abstractNumId w:val="10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5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2DBF"/>
    <w:rsid w:val="00014A75"/>
    <w:rsid w:val="00017B12"/>
    <w:rsid w:val="00024005"/>
    <w:rsid w:val="0002649F"/>
    <w:rsid w:val="00026D68"/>
    <w:rsid w:val="00030019"/>
    <w:rsid w:val="00033C73"/>
    <w:rsid w:val="00034F5F"/>
    <w:rsid w:val="000371B7"/>
    <w:rsid w:val="00037802"/>
    <w:rsid w:val="00046CFA"/>
    <w:rsid w:val="00063324"/>
    <w:rsid w:val="0006390A"/>
    <w:rsid w:val="000760D9"/>
    <w:rsid w:val="00076709"/>
    <w:rsid w:val="000809C8"/>
    <w:rsid w:val="000814A4"/>
    <w:rsid w:val="00095502"/>
    <w:rsid w:val="000A0125"/>
    <w:rsid w:val="000A3616"/>
    <w:rsid w:val="000B07E5"/>
    <w:rsid w:val="000B32AA"/>
    <w:rsid w:val="000B4924"/>
    <w:rsid w:val="000B5579"/>
    <w:rsid w:val="000B6AA4"/>
    <w:rsid w:val="000C1374"/>
    <w:rsid w:val="000C5285"/>
    <w:rsid w:val="000D2742"/>
    <w:rsid w:val="000D69F5"/>
    <w:rsid w:val="000D7642"/>
    <w:rsid w:val="000E58CF"/>
    <w:rsid w:val="000F0F5C"/>
    <w:rsid w:val="000F2668"/>
    <w:rsid w:val="000F5EAF"/>
    <w:rsid w:val="001042D9"/>
    <w:rsid w:val="00110ADF"/>
    <w:rsid w:val="00110C85"/>
    <w:rsid w:val="00112A17"/>
    <w:rsid w:val="00115E18"/>
    <w:rsid w:val="00116653"/>
    <w:rsid w:val="00136E27"/>
    <w:rsid w:val="00140708"/>
    <w:rsid w:val="001433E8"/>
    <w:rsid w:val="0014716E"/>
    <w:rsid w:val="00157331"/>
    <w:rsid w:val="00161419"/>
    <w:rsid w:val="00161C82"/>
    <w:rsid w:val="00172B29"/>
    <w:rsid w:val="0017377C"/>
    <w:rsid w:val="00175217"/>
    <w:rsid w:val="00182216"/>
    <w:rsid w:val="001950EA"/>
    <w:rsid w:val="00195E0E"/>
    <w:rsid w:val="001A18C3"/>
    <w:rsid w:val="001A227F"/>
    <w:rsid w:val="001B297E"/>
    <w:rsid w:val="001B39B5"/>
    <w:rsid w:val="001B49B8"/>
    <w:rsid w:val="001C093F"/>
    <w:rsid w:val="001C78C0"/>
    <w:rsid w:val="001C7EAD"/>
    <w:rsid w:val="001D402E"/>
    <w:rsid w:val="001E0BE0"/>
    <w:rsid w:val="001E0E27"/>
    <w:rsid w:val="001E14B6"/>
    <w:rsid w:val="001E3044"/>
    <w:rsid w:val="001F0B9C"/>
    <w:rsid w:val="001F7E82"/>
    <w:rsid w:val="00200AE0"/>
    <w:rsid w:val="00201C7F"/>
    <w:rsid w:val="00205124"/>
    <w:rsid w:val="002142BE"/>
    <w:rsid w:val="0021540B"/>
    <w:rsid w:val="002254EE"/>
    <w:rsid w:val="002302EA"/>
    <w:rsid w:val="0024078A"/>
    <w:rsid w:val="0024470B"/>
    <w:rsid w:val="00247972"/>
    <w:rsid w:val="00250B0F"/>
    <w:rsid w:val="0025112B"/>
    <w:rsid w:val="002552FA"/>
    <w:rsid w:val="0026116E"/>
    <w:rsid w:val="00264949"/>
    <w:rsid w:val="00266BBD"/>
    <w:rsid w:val="002700B6"/>
    <w:rsid w:val="00294504"/>
    <w:rsid w:val="00297580"/>
    <w:rsid w:val="00297941"/>
    <w:rsid w:val="002A13CE"/>
    <w:rsid w:val="002A1F24"/>
    <w:rsid w:val="002B4B92"/>
    <w:rsid w:val="002C003B"/>
    <w:rsid w:val="002C2DA1"/>
    <w:rsid w:val="002C75B8"/>
    <w:rsid w:val="002D2426"/>
    <w:rsid w:val="002E20B6"/>
    <w:rsid w:val="002E22C7"/>
    <w:rsid w:val="002F427D"/>
    <w:rsid w:val="0030211E"/>
    <w:rsid w:val="00302357"/>
    <w:rsid w:val="00304B1D"/>
    <w:rsid w:val="0030621C"/>
    <w:rsid w:val="00306E65"/>
    <w:rsid w:val="00311A74"/>
    <w:rsid w:val="0031788B"/>
    <w:rsid w:val="003201C3"/>
    <w:rsid w:val="0032432D"/>
    <w:rsid w:val="00342D4E"/>
    <w:rsid w:val="00346BCE"/>
    <w:rsid w:val="00346EC0"/>
    <w:rsid w:val="00352F29"/>
    <w:rsid w:val="003548B7"/>
    <w:rsid w:val="003568A3"/>
    <w:rsid w:val="003A6DDC"/>
    <w:rsid w:val="003C50E0"/>
    <w:rsid w:val="003C75B9"/>
    <w:rsid w:val="003C78DF"/>
    <w:rsid w:val="003F2296"/>
    <w:rsid w:val="003F25B9"/>
    <w:rsid w:val="00400AA8"/>
    <w:rsid w:val="00403F7F"/>
    <w:rsid w:val="004062B8"/>
    <w:rsid w:val="004063D4"/>
    <w:rsid w:val="004151A9"/>
    <w:rsid w:val="00416C57"/>
    <w:rsid w:val="00424CF8"/>
    <w:rsid w:val="004268D1"/>
    <w:rsid w:val="00427362"/>
    <w:rsid w:val="00431C9E"/>
    <w:rsid w:val="00435B72"/>
    <w:rsid w:val="004362D3"/>
    <w:rsid w:val="004471D7"/>
    <w:rsid w:val="004532F4"/>
    <w:rsid w:val="00456029"/>
    <w:rsid w:val="00456ABE"/>
    <w:rsid w:val="00465145"/>
    <w:rsid w:val="004673B9"/>
    <w:rsid w:val="0047077B"/>
    <w:rsid w:val="00474A79"/>
    <w:rsid w:val="00474D5E"/>
    <w:rsid w:val="00476BE3"/>
    <w:rsid w:val="00484C31"/>
    <w:rsid w:val="004904A8"/>
    <w:rsid w:val="0049097F"/>
    <w:rsid w:val="00490F41"/>
    <w:rsid w:val="004A3D76"/>
    <w:rsid w:val="004D3918"/>
    <w:rsid w:val="004D7256"/>
    <w:rsid w:val="004E05B4"/>
    <w:rsid w:val="004E0FA4"/>
    <w:rsid w:val="004E3D3A"/>
    <w:rsid w:val="004F06C6"/>
    <w:rsid w:val="004F3D5D"/>
    <w:rsid w:val="0050278F"/>
    <w:rsid w:val="00503089"/>
    <w:rsid w:val="0050375A"/>
    <w:rsid w:val="0051724B"/>
    <w:rsid w:val="00524EE5"/>
    <w:rsid w:val="00525BDD"/>
    <w:rsid w:val="00527290"/>
    <w:rsid w:val="00527588"/>
    <w:rsid w:val="00530A01"/>
    <w:rsid w:val="0053201A"/>
    <w:rsid w:val="0053594D"/>
    <w:rsid w:val="00542583"/>
    <w:rsid w:val="00543B0F"/>
    <w:rsid w:val="00553971"/>
    <w:rsid w:val="00553D88"/>
    <w:rsid w:val="00560209"/>
    <w:rsid w:val="00567645"/>
    <w:rsid w:val="005713C5"/>
    <w:rsid w:val="00571F4A"/>
    <w:rsid w:val="00586150"/>
    <w:rsid w:val="005908D1"/>
    <w:rsid w:val="00591EB5"/>
    <w:rsid w:val="005A0C19"/>
    <w:rsid w:val="005A39E8"/>
    <w:rsid w:val="005A7020"/>
    <w:rsid w:val="005A76A9"/>
    <w:rsid w:val="005B0D77"/>
    <w:rsid w:val="005B11C7"/>
    <w:rsid w:val="005C2D31"/>
    <w:rsid w:val="005D4390"/>
    <w:rsid w:val="005D648B"/>
    <w:rsid w:val="005D6633"/>
    <w:rsid w:val="005D7CED"/>
    <w:rsid w:val="005E600D"/>
    <w:rsid w:val="005E7559"/>
    <w:rsid w:val="005F183B"/>
    <w:rsid w:val="005F2C63"/>
    <w:rsid w:val="005F59EE"/>
    <w:rsid w:val="005F6D9A"/>
    <w:rsid w:val="005F6DA7"/>
    <w:rsid w:val="0060272B"/>
    <w:rsid w:val="00604A91"/>
    <w:rsid w:val="00606AE6"/>
    <w:rsid w:val="00614488"/>
    <w:rsid w:val="00620DDE"/>
    <w:rsid w:val="00622ACC"/>
    <w:rsid w:val="00623A8A"/>
    <w:rsid w:val="00630222"/>
    <w:rsid w:val="0063218C"/>
    <w:rsid w:val="0063430E"/>
    <w:rsid w:val="00637B00"/>
    <w:rsid w:val="00641376"/>
    <w:rsid w:val="00647888"/>
    <w:rsid w:val="00653252"/>
    <w:rsid w:val="006644A7"/>
    <w:rsid w:val="00665303"/>
    <w:rsid w:val="0066533C"/>
    <w:rsid w:val="006727D7"/>
    <w:rsid w:val="00693FA8"/>
    <w:rsid w:val="006A155C"/>
    <w:rsid w:val="006A2E78"/>
    <w:rsid w:val="006A5F38"/>
    <w:rsid w:val="006B1A07"/>
    <w:rsid w:val="006C5155"/>
    <w:rsid w:val="006C6403"/>
    <w:rsid w:val="006D2D7F"/>
    <w:rsid w:val="006D750A"/>
    <w:rsid w:val="006D7C17"/>
    <w:rsid w:val="006F59A3"/>
    <w:rsid w:val="006F5BC5"/>
    <w:rsid w:val="006F7049"/>
    <w:rsid w:val="007010D1"/>
    <w:rsid w:val="00703376"/>
    <w:rsid w:val="00704BDD"/>
    <w:rsid w:val="00705DE8"/>
    <w:rsid w:val="00710DEE"/>
    <w:rsid w:val="00726730"/>
    <w:rsid w:val="00732C82"/>
    <w:rsid w:val="0073314D"/>
    <w:rsid w:val="0073720A"/>
    <w:rsid w:val="0074683C"/>
    <w:rsid w:val="007470A0"/>
    <w:rsid w:val="007527CF"/>
    <w:rsid w:val="0075660E"/>
    <w:rsid w:val="00760791"/>
    <w:rsid w:val="00761123"/>
    <w:rsid w:val="00763BAD"/>
    <w:rsid w:val="007768C3"/>
    <w:rsid w:val="00783DEC"/>
    <w:rsid w:val="007866FD"/>
    <w:rsid w:val="00786E76"/>
    <w:rsid w:val="00791EE2"/>
    <w:rsid w:val="00792FA8"/>
    <w:rsid w:val="00796A58"/>
    <w:rsid w:val="007A431C"/>
    <w:rsid w:val="007A7615"/>
    <w:rsid w:val="007B7657"/>
    <w:rsid w:val="007B7F8C"/>
    <w:rsid w:val="007C084A"/>
    <w:rsid w:val="007C2A09"/>
    <w:rsid w:val="007D2099"/>
    <w:rsid w:val="007D5000"/>
    <w:rsid w:val="007E0F18"/>
    <w:rsid w:val="007E3998"/>
    <w:rsid w:val="007F24F4"/>
    <w:rsid w:val="00800561"/>
    <w:rsid w:val="00800579"/>
    <w:rsid w:val="0080731E"/>
    <w:rsid w:val="0082007F"/>
    <w:rsid w:val="008214A7"/>
    <w:rsid w:val="00822645"/>
    <w:rsid w:val="0083525E"/>
    <w:rsid w:val="00837111"/>
    <w:rsid w:val="0084132B"/>
    <w:rsid w:val="00850162"/>
    <w:rsid w:val="00850DBE"/>
    <w:rsid w:val="00852316"/>
    <w:rsid w:val="008538A0"/>
    <w:rsid w:val="00854DAB"/>
    <w:rsid w:val="00861FC9"/>
    <w:rsid w:val="0087360A"/>
    <w:rsid w:val="00875F32"/>
    <w:rsid w:val="00883E2D"/>
    <w:rsid w:val="00893E44"/>
    <w:rsid w:val="00895D48"/>
    <w:rsid w:val="008A29C2"/>
    <w:rsid w:val="008A34E8"/>
    <w:rsid w:val="008B2B64"/>
    <w:rsid w:val="008B3B0D"/>
    <w:rsid w:val="008B4A5B"/>
    <w:rsid w:val="008C14FC"/>
    <w:rsid w:val="008D11F0"/>
    <w:rsid w:val="008D3BE3"/>
    <w:rsid w:val="008D7B12"/>
    <w:rsid w:val="008D7B49"/>
    <w:rsid w:val="008E5760"/>
    <w:rsid w:val="00902627"/>
    <w:rsid w:val="009118B8"/>
    <w:rsid w:val="00915D96"/>
    <w:rsid w:val="00920AC8"/>
    <w:rsid w:val="00926CB2"/>
    <w:rsid w:val="00930D6C"/>
    <w:rsid w:val="00932914"/>
    <w:rsid w:val="00937E6E"/>
    <w:rsid w:val="00943BF4"/>
    <w:rsid w:val="00945AB0"/>
    <w:rsid w:val="0094734E"/>
    <w:rsid w:val="00947FCA"/>
    <w:rsid w:val="009571C7"/>
    <w:rsid w:val="009629A6"/>
    <w:rsid w:val="00966FD6"/>
    <w:rsid w:val="00977F3C"/>
    <w:rsid w:val="00980A2C"/>
    <w:rsid w:val="00994118"/>
    <w:rsid w:val="0099528D"/>
    <w:rsid w:val="00996916"/>
    <w:rsid w:val="009A389E"/>
    <w:rsid w:val="009C6A78"/>
    <w:rsid w:val="009D25AE"/>
    <w:rsid w:val="009D53B4"/>
    <w:rsid w:val="009D5B69"/>
    <w:rsid w:val="009E06DC"/>
    <w:rsid w:val="009E197E"/>
    <w:rsid w:val="009E3F68"/>
    <w:rsid w:val="009E4108"/>
    <w:rsid w:val="009E4D8C"/>
    <w:rsid w:val="009E6A10"/>
    <w:rsid w:val="00A07B0D"/>
    <w:rsid w:val="00A10E2A"/>
    <w:rsid w:val="00A113B0"/>
    <w:rsid w:val="00A2195A"/>
    <w:rsid w:val="00A27C7A"/>
    <w:rsid w:val="00A35283"/>
    <w:rsid w:val="00A35506"/>
    <w:rsid w:val="00A41801"/>
    <w:rsid w:val="00A426FD"/>
    <w:rsid w:val="00A42DE0"/>
    <w:rsid w:val="00A50119"/>
    <w:rsid w:val="00A5235C"/>
    <w:rsid w:val="00A56B54"/>
    <w:rsid w:val="00A73C9C"/>
    <w:rsid w:val="00A747D0"/>
    <w:rsid w:val="00A82015"/>
    <w:rsid w:val="00A92BE6"/>
    <w:rsid w:val="00A96D7C"/>
    <w:rsid w:val="00AB1C08"/>
    <w:rsid w:val="00AC2D21"/>
    <w:rsid w:val="00AC5986"/>
    <w:rsid w:val="00AC6F50"/>
    <w:rsid w:val="00AD23F0"/>
    <w:rsid w:val="00AD2B50"/>
    <w:rsid w:val="00AE2F44"/>
    <w:rsid w:val="00AE32F4"/>
    <w:rsid w:val="00AF5DBF"/>
    <w:rsid w:val="00AF7B54"/>
    <w:rsid w:val="00B0014C"/>
    <w:rsid w:val="00B0043B"/>
    <w:rsid w:val="00B02C21"/>
    <w:rsid w:val="00B1153E"/>
    <w:rsid w:val="00B12EC8"/>
    <w:rsid w:val="00B15BF5"/>
    <w:rsid w:val="00B228ED"/>
    <w:rsid w:val="00B27F71"/>
    <w:rsid w:val="00B4014E"/>
    <w:rsid w:val="00B41767"/>
    <w:rsid w:val="00B4428F"/>
    <w:rsid w:val="00B517B9"/>
    <w:rsid w:val="00B529F1"/>
    <w:rsid w:val="00B53C64"/>
    <w:rsid w:val="00B612C2"/>
    <w:rsid w:val="00B6567B"/>
    <w:rsid w:val="00B66056"/>
    <w:rsid w:val="00B6791A"/>
    <w:rsid w:val="00B76BC1"/>
    <w:rsid w:val="00B851CF"/>
    <w:rsid w:val="00B85426"/>
    <w:rsid w:val="00B92D49"/>
    <w:rsid w:val="00B934C3"/>
    <w:rsid w:val="00BA5A41"/>
    <w:rsid w:val="00BB376A"/>
    <w:rsid w:val="00BB78A0"/>
    <w:rsid w:val="00BC456A"/>
    <w:rsid w:val="00BD0BF5"/>
    <w:rsid w:val="00BD614B"/>
    <w:rsid w:val="00BE5509"/>
    <w:rsid w:val="00BE69BE"/>
    <w:rsid w:val="00BE70E2"/>
    <w:rsid w:val="00BE77A6"/>
    <w:rsid w:val="00BE7866"/>
    <w:rsid w:val="00BF30B5"/>
    <w:rsid w:val="00BF3F87"/>
    <w:rsid w:val="00C0367E"/>
    <w:rsid w:val="00C05905"/>
    <w:rsid w:val="00C11303"/>
    <w:rsid w:val="00C11A3E"/>
    <w:rsid w:val="00C11F9C"/>
    <w:rsid w:val="00C201C5"/>
    <w:rsid w:val="00C27C03"/>
    <w:rsid w:val="00C52E5B"/>
    <w:rsid w:val="00C547BC"/>
    <w:rsid w:val="00C579CD"/>
    <w:rsid w:val="00C6069C"/>
    <w:rsid w:val="00C63B3F"/>
    <w:rsid w:val="00C679DD"/>
    <w:rsid w:val="00C67B65"/>
    <w:rsid w:val="00C71CDC"/>
    <w:rsid w:val="00C7477E"/>
    <w:rsid w:val="00C81131"/>
    <w:rsid w:val="00C87A87"/>
    <w:rsid w:val="00C947CE"/>
    <w:rsid w:val="00C9496E"/>
    <w:rsid w:val="00C94D8B"/>
    <w:rsid w:val="00C958C0"/>
    <w:rsid w:val="00CA268D"/>
    <w:rsid w:val="00CA42B3"/>
    <w:rsid w:val="00CA761F"/>
    <w:rsid w:val="00CB7765"/>
    <w:rsid w:val="00CC00F6"/>
    <w:rsid w:val="00CC133E"/>
    <w:rsid w:val="00CD1A8A"/>
    <w:rsid w:val="00CD2AAE"/>
    <w:rsid w:val="00CD67C2"/>
    <w:rsid w:val="00CE32D0"/>
    <w:rsid w:val="00CF69EB"/>
    <w:rsid w:val="00CF7551"/>
    <w:rsid w:val="00CF7AC4"/>
    <w:rsid w:val="00D137C3"/>
    <w:rsid w:val="00D13D9E"/>
    <w:rsid w:val="00D2153A"/>
    <w:rsid w:val="00D25458"/>
    <w:rsid w:val="00D33CC1"/>
    <w:rsid w:val="00D344BE"/>
    <w:rsid w:val="00D43149"/>
    <w:rsid w:val="00D43509"/>
    <w:rsid w:val="00D44BD2"/>
    <w:rsid w:val="00D47E00"/>
    <w:rsid w:val="00D70D56"/>
    <w:rsid w:val="00D7569B"/>
    <w:rsid w:val="00D76038"/>
    <w:rsid w:val="00D84888"/>
    <w:rsid w:val="00D86F2D"/>
    <w:rsid w:val="00D87163"/>
    <w:rsid w:val="00DA11BD"/>
    <w:rsid w:val="00DA613B"/>
    <w:rsid w:val="00DC2617"/>
    <w:rsid w:val="00DC70FD"/>
    <w:rsid w:val="00DE2903"/>
    <w:rsid w:val="00DE6D53"/>
    <w:rsid w:val="00DF3E17"/>
    <w:rsid w:val="00E019FE"/>
    <w:rsid w:val="00E02AA6"/>
    <w:rsid w:val="00E07525"/>
    <w:rsid w:val="00E30439"/>
    <w:rsid w:val="00E4413D"/>
    <w:rsid w:val="00E44A00"/>
    <w:rsid w:val="00E44E9D"/>
    <w:rsid w:val="00E47DD8"/>
    <w:rsid w:val="00E52E0D"/>
    <w:rsid w:val="00E54E1C"/>
    <w:rsid w:val="00E551EF"/>
    <w:rsid w:val="00E6015A"/>
    <w:rsid w:val="00E60974"/>
    <w:rsid w:val="00E64866"/>
    <w:rsid w:val="00E67836"/>
    <w:rsid w:val="00E70A14"/>
    <w:rsid w:val="00E713EA"/>
    <w:rsid w:val="00E72205"/>
    <w:rsid w:val="00E736BD"/>
    <w:rsid w:val="00E774C9"/>
    <w:rsid w:val="00E8175F"/>
    <w:rsid w:val="00E82EF3"/>
    <w:rsid w:val="00E86E04"/>
    <w:rsid w:val="00E95D63"/>
    <w:rsid w:val="00EA002B"/>
    <w:rsid w:val="00EA4799"/>
    <w:rsid w:val="00EB09B7"/>
    <w:rsid w:val="00EB58A9"/>
    <w:rsid w:val="00EB705B"/>
    <w:rsid w:val="00EC1411"/>
    <w:rsid w:val="00EC399A"/>
    <w:rsid w:val="00ED0562"/>
    <w:rsid w:val="00ED2211"/>
    <w:rsid w:val="00EE1605"/>
    <w:rsid w:val="00EE2F31"/>
    <w:rsid w:val="00EE46AC"/>
    <w:rsid w:val="00EE5183"/>
    <w:rsid w:val="00EF08B2"/>
    <w:rsid w:val="00EF22B2"/>
    <w:rsid w:val="00EF7FFB"/>
    <w:rsid w:val="00F00D66"/>
    <w:rsid w:val="00F06C29"/>
    <w:rsid w:val="00F0701D"/>
    <w:rsid w:val="00F200BE"/>
    <w:rsid w:val="00F21FC8"/>
    <w:rsid w:val="00F224DA"/>
    <w:rsid w:val="00F24B01"/>
    <w:rsid w:val="00F27422"/>
    <w:rsid w:val="00F33B97"/>
    <w:rsid w:val="00F37BCE"/>
    <w:rsid w:val="00F400E4"/>
    <w:rsid w:val="00F522EE"/>
    <w:rsid w:val="00F57E8C"/>
    <w:rsid w:val="00F72733"/>
    <w:rsid w:val="00F751F0"/>
    <w:rsid w:val="00F763D0"/>
    <w:rsid w:val="00F81245"/>
    <w:rsid w:val="00F83936"/>
    <w:rsid w:val="00F854EA"/>
    <w:rsid w:val="00F92038"/>
    <w:rsid w:val="00F94A66"/>
    <w:rsid w:val="00FB53FA"/>
    <w:rsid w:val="00FC7100"/>
    <w:rsid w:val="00FD0758"/>
    <w:rsid w:val="00FD17D0"/>
    <w:rsid w:val="00FD40BC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456ABE"/>
  </w:style>
  <w:style w:type="paragraph" w:customStyle="1" w:styleId="FORMATTEXT0">
    <w:name w:val=".FORMATTEXT"/>
    <w:uiPriority w:val="99"/>
    <w:rsid w:val="00115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C6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200A-4FED-4F23-9DC1-CBBCB50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98</cp:revision>
  <cp:lastPrinted>2019-12-25T09:57:00Z</cp:lastPrinted>
  <dcterms:created xsi:type="dcterms:W3CDTF">2017-07-04T10:49:00Z</dcterms:created>
  <dcterms:modified xsi:type="dcterms:W3CDTF">2020-01-09T07:21:00Z</dcterms:modified>
</cp:coreProperties>
</file>