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0E6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246E" w:rsidRPr="00186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246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0E63D5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3E1CEF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5959C2">
        <w:rPr>
          <w:rFonts w:ascii="Times New Roman" w:hAnsi="Times New Roman" w:cs="Times New Roman"/>
          <w:sz w:val="28"/>
          <w:szCs w:val="28"/>
        </w:rPr>
        <w:t>24</w:t>
      </w:r>
      <w:bookmarkStart w:id="3" w:name="_GoBack"/>
      <w:bookmarkEnd w:id="3"/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5.2.9. </w:t>
      </w:r>
      <w:r w:rsidR="00793D89" w:rsidRPr="00793D89">
        <w:rPr>
          <w:rFonts w:ascii="Times New Roman" w:eastAsia="Times New Roman" w:hAnsi="Times New Roman" w:cs="Times New Roman"/>
          <w:sz w:val="28"/>
          <w:szCs w:val="28"/>
        </w:rPr>
        <w:t>Не уступать права и не осуществлять перевод долга по Договору без письменного согласия Арендодателя</w:t>
      </w:r>
      <w:r w:rsidRPr="00933735">
        <w:rPr>
          <w:rFonts w:ascii="Times New Roman" w:hAnsi="Times New Roman" w:cs="Times New Roman"/>
          <w:sz w:val="28"/>
          <w:szCs w:val="28"/>
        </w:rPr>
        <w:t>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3E1CEF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EF" w:rsidRDefault="003E1CEF" w:rsidP="0003600D">
      <w:pPr>
        <w:spacing w:after="0" w:line="240" w:lineRule="auto"/>
      </w:pPr>
      <w:r>
        <w:separator/>
      </w:r>
    </w:p>
  </w:endnote>
  <w:endnote w:type="continuationSeparator" w:id="0">
    <w:p w:rsidR="003E1CEF" w:rsidRDefault="003E1CEF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EF" w:rsidRDefault="003E1CEF" w:rsidP="0003600D">
      <w:pPr>
        <w:spacing w:after="0" w:line="240" w:lineRule="auto"/>
      </w:pPr>
      <w:r>
        <w:separator/>
      </w:r>
    </w:p>
  </w:footnote>
  <w:footnote w:type="continuationSeparator" w:id="0">
    <w:p w:rsidR="003E1CEF" w:rsidRDefault="003E1CEF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0E63D5"/>
    <w:rsid w:val="0018631E"/>
    <w:rsid w:val="00192C65"/>
    <w:rsid w:val="00244967"/>
    <w:rsid w:val="00276C94"/>
    <w:rsid w:val="002A3ACE"/>
    <w:rsid w:val="00324CDA"/>
    <w:rsid w:val="003347AE"/>
    <w:rsid w:val="00334C45"/>
    <w:rsid w:val="00362E2A"/>
    <w:rsid w:val="003E1CEF"/>
    <w:rsid w:val="003F0150"/>
    <w:rsid w:val="00455F02"/>
    <w:rsid w:val="0049546E"/>
    <w:rsid w:val="00567ADD"/>
    <w:rsid w:val="005959C2"/>
    <w:rsid w:val="00733235"/>
    <w:rsid w:val="00736C21"/>
    <w:rsid w:val="007738CF"/>
    <w:rsid w:val="00793D89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57BC5"/>
    <w:rsid w:val="00A7246E"/>
    <w:rsid w:val="00A73176"/>
    <w:rsid w:val="00AE06EF"/>
    <w:rsid w:val="00B30E15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9464B"/>
    <w:rsid w:val="00E5788D"/>
    <w:rsid w:val="00EA6255"/>
    <w:rsid w:val="00ED700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E73A-28B6-4C7A-9BA8-E0007F9C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13</cp:revision>
  <cp:lastPrinted>2022-06-08T14:01:00Z</cp:lastPrinted>
  <dcterms:created xsi:type="dcterms:W3CDTF">2020-04-21T04:52:00Z</dcterms:created>
  <dcterms:modified xsi:type="dcterms:W3CDTF">2022-06-08T14:14:00Z</dcterms:modified>
</cp:coreProperties>
</file>