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30">
        <w:rPr>
          <w:rFonts w:ascii="Times New Roman" w:hAnsi="Times New Roman" w:cs="Times New Roman"/>
          <w:sz w:val="28"/>
          <w:szCs w:val="28"/>
        </w:rPr>
        <w:t>выпаса скота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B6618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033855">
        <w:rPr>
          <w:rFonts w:ascii="Times New Roman" w:hAnsi="Times New Roman" w:cs="Times New Roman"/>
          <w:sz w:val="28"/>
          <w:szCs w:val="28"/>
        </w:rPr>
        <w:t>28</w:t>
      </w:r>
      <w:bookmarkStart w:id="3" w:name="_GoBack"/>
      <w:bookmarkEnd w:id="3"/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B6618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85" w:rsidRDefault="00B66185" w:rsidP="0003600D">
      <w:pPr>
        <w:spacing w:after="0" w:line="240" w:lineRule="auto"/>
      </w:pPr>
      <w:r>
        <w:separator/>
      </w:r>
    </w:p>
  </w:endnote>
  <w:endnote w:type="continuationSeparator" w:id="0">
    <w:p w:rsidR="00B66185" w:rsidRDefault="00B66185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85" w:rsidRDefault="00B66185" w:rsidP="0003600D">
      <w:pPr>
        <w:spacing w:after="0" w:line="240" w:lineRule="auto"/>
      </w:pPr>
      <w:r>
        <w:separator/>
      </w:r>
    </w:p>
  </w:footnote>
  <w:footnote w:type="continuationSeparator" w:id="0">
    <w:p w:rsidR="00B66185" w:rsidRDefault="00B66185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24CDA"/>
    <w:rsid w:val="00334C45"/>
    <w:rsid w:val="00362E2A"/>
    <w:rsid w:val="003F0150"/>
    <w:rsid w:val="00455F02"/>
    <w:rsid w:val="00567ADD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CEA-4AFD-4984-9A34-5F8CCCCF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9</cp:revision>
  <cp:lastPrinted>2019-07-17T06:55:00Z</cp:lastPrinted>
  <dcterms:created xsi:type="dcterms:W3CDTF">2020-04-21T04:52:00Z</dcterms:created>
  <dcterms:modified xsi:type="dcterms:W3CDTF">2021-04-05T14:17:00Z</dcterms:modified>
</cp:coreProperties>
</file>