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C51636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C51636">
        <w:rPr>
          <w:rFonts w:ascii="Times New Roman" w:hAnsi="Times New Roman" w:cs="Times New Roman"/>
          <w:sz w:val="28"/>
          <w:szCs w:val="28"/>
        </w:rPr>
        <w:t xml:space="preserve">ежемесячно, не позднее 10-го числа следующего </w:t>
      </w:r>
      <w:proofErr w:type="gramStart"/>
      <w:r w:rsidR="00C516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1636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E75362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C51636">
        <w:rPr>
          <w:rFonts w:ascii="Times New Roman" w:hAnsi="Times New Roman" w:cs="Times New Roman"/>
          <w:sz w:val="28"/>
          <w:szCs w:val="28"/>
        </w:rPr>
        <w:t>05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62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C51636">
        <w:rPr>
          <w:rFonts w:ascii="Times New Roman" w:hAnsi="Times New Roman" w:cs="Times New Roman"/>
          <w:sz w:val="28"/>
          <w:szCs w:val="28"/>
        </w:rPr>
        <w:t>412</w:t>
      </w:r>
      <w:bookmarkStart w:id="3" w:name="_GoBack"/>
      <w:bookmarkEnd w:id="3"/>
      <w:r w:rsidR="006766E6" w:rsidRPr="00CD0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2F" w:rsidRDefault="005D262F" w:rsidP="00F579DC">
      <w:pPr>
        <w:spacing w:after="0" w:line="240" w:lineRule="auto"/>
      </w:pPr>
      <w:r>
        <w:separator/>
      </w:r>
    </w:p>
  </w:endnote>
  <w:endnote w:type="continuationSeparator" w:id="0">
    <w:p w:rsidR="005D262F" w:rsidRDefault="005D262F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2F" w:rsidRDefault="005D262F" w:rsidP="00F579DC">
      <w:pPr>
        <w:spacing w:after="0" w:line="240" w:lineRule="auto"/>
      </w:pPr>
      <w:r>
        <w:separator/>
      </w:r>
    </w:p>
  </w:footnote>
  <w:footnote w:type="continuationSeparator" w:id="0">
    <w:p w:rsidR="005D262F" w:rsidRDefault="005D262F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262F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1636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3877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1B90-7156-466C-A9C4-1CA15725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11</cp:revision>
  <cp:lastPrinted>2018-04-02T08:47:00Z</cp:lastPrinted>
  <dcterms:created xsi:type="dcterms:W3CDTF">2019-02-05T04:06:00Z</dcterms:created>
  <dcterms:modified xsi:type="dcterms:W3CDTF">2020-05-22T12:03:00Z</dcterms:modified>
</cp:coreProperties>
</file>