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6" w:rsidRPr="00357DDF" w:rsidRDefault="00B3448D" w:rsidP="00357DDF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А</w:t>
      </w:r>
      <w:r w:rsidR="006263BF" w:rsidRPr="00357DDF">
        <w:rPr>
          <w:rFonts w:ascii="Arial" w:hAnsi="Arial" w:cs="Arial"/>
          <w:b/>
          <w:sz w:val="24"/>
          <w:szCs w:val="24"/>
        </w:rPr>
        <w:t>дминистрация</w:t>
      </w:r>
      <w:r w:rsidR="009446FC" w:rsidRPr="00357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61A1" w:rsidRPr="00357DD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="00A20576" w:rsidRPr="00357DD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263BF" w:rsidRPr="00357DDF" w:rsidRDefault="006263BF" w:rsidP="00357DDF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7DDF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357DD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6263BF" w:rsidRPr="00357DDF" w:rsidRDefault="006263BF" w:rsidP="00357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683A" w:rsidRPr="00357DDF" w:rsidRDefault="003F683A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63BF" w:rsidRPr="00357DDF" w:rsidRDefault="006263B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ПОСТАНОВЛЕНИЕ</w:t>
      </w:r>
    </w:p>
    <w:p w:rsidR="003F683A" w:rsidRPr="00357DDF" w:rsidRDefault="003F683A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63BF" w:rsidRPr="00357DDF" w:rsidRDefault="00F173F0" w:rsidP="00357D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от </w:t>
      </w:r>
      <w:r w:rsidR="00620EC2" w:rsidRPr="00357DDF">
        <w:rPr>
          <w:rFonts w:ascii="Arial" w:hAnsi="Arial" w:cs="Arial"/>
          <w:sz w:val="24"/>
          <w:szCs w:val="24"/>
        </w:rPr>
        <w:t xml:space="preserve">29 апреля </w:t>
      </w:r>
      <w:r w:rsidR="000C655D" w:rsidRPr="00357DDF">
        <w:rPr>
          <w:rFonts w:ascii="Arial" w:hAnsi="Arial" w:cs="Arial"/>
          <w:sz w:val="24"/>
          <w:szCs w:val="24"/>
        </w:rPr>
        <w:t>201</w:t>
      </w:r>
      <w:r w:rsidR="00007EDC" w:rsidRPr="00357DDF">
        <w:rPr>
          <w:rFonts w:ascii="Arial" w:hAnsi="Arial" w:cs="Arial"/>
          <w:sz w:val="24"/>
          <w:szCs w:val="24"/>
        </w:rPr>
        <w:t>9</w:t>
      </w:r>
      <w:r w:rsidR="003F683A" w:rsidRPr="00357DDF">
        <w:rPr>
          <w:rFonts w:ascii="Arial" w:hAnsi="Arial" w:cs="Arial"/>
          <w:sz w:val="24"/>
          <w:szCs w:val="24"/>
        </w:rPr>
        <w:t xml:space="preserve"> г.</w:t>
      </w:r>
      <w:r w:rsidR="003416F3" w:rsidRPr="00357DDF">
        <w:rPr>
          <w:rFonts w:ascii="Arial" w:hAnsi="Arial" w:cs="Arial"/>
          <w:sz w:val="24"/>
          <w:szCs w:val="24"/>
        </w:rPr>
        <w:tab/>
      </w:r>
      <w:r w:rsidR="003416F3" w:rsidRPr="00357DDF">
        <w:rPr>
          <w:rFonts w:ascii="Arial" w:hAnsi="Arial" w:cs="Arial"/>
          <w:sz w:val="24"/>
          <w:szCs w:val="24"/>
        </w:rPr>
        <w:tab/>
      </w:r>
      <w:r w:rsidR="00620EC2" w:rsidRPr="00357DDF">
        <w:rPr>
          <w:rFonts w:ascii="Arial" w:hAnsi="Arial" w:cs="Arial"/>
          <w:sz w:val="24"/>
          <w:szCs w:val="24"/>
        </w:rPr>
        <w:t xml:space="preserve">               </w:t>
      </w:r>
      <w:r w:rsidR="003F683A" w:rsidRPr="00357DD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57DDF">
        <w:rPr>
          <w:rFonts w:ascii="Arial" w:hAnsi="Arial" w:cs="Arial"/>
          <w:sz w:val="24"/>
          <w:szCs w:val="24"/>
        </w:rPr>
        <w:t xml:space="preserve">            </w:t>
      </w:r>
      <w:r w:rsidR="006263BF" w:rsidRPr="00357DDF">
        <w:rPr>
          <w:rFonts w:ascii="Arial" w:hAnsi="Arial" w:cs="Arial"/>
          <w:sz w:val="24"/>
          <w:szCs w:val="24"/>
        </w:rPr>
        <w:t>№</w:t>
      </w:r>
      <w:r w:rsidR="003F683A" w:rsidRPr="00357DDF">
        <w:rPr>
          <w:rFonts w:ascii="Arial" w:hAnsi="Arial" w:cs="Arial"/>
          <w:sz w:val="24"/>
          <w:szCs w:val="24"/>
        </w:rPr>
        <w:t xml:space="preserve"> </w:t>
      </w:r>
      <w:r w:rsidR="00620EC2" w:rsidRPr="00357DDF">
        <w:rPr>
          <w:rFonts w:ascii="Arial" w:hAnsi="Arial" w:cs="Arial"/>
          <w:sz w:val="24"/>
          <w:szCs w:val="24"/>
        </w:rPr>
        <w:t>21</w:t>
      </w:r>
    </w:p>
    <w:p w:rsidR="00A20576" w:rsidRPr="00357DDF" w:rsidRDefault="00A20576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>Об утверждении отч</w:t>
      </w:r>
      <w:r w:rsidR="0070092B" w:rsidRPr="00357DDF">
        <w:rPr>
          <w:rFonts w:ascii="Arial" w:eastAsia="Times New Roman" w:hAnsi="Arial" w:cs="Arial"/>
          <w:sz w:val="24"/>
          <w:szCs w:val="24"/>
        </w:rPr>
        <w:t>е</w:t>
      </w:r>
      <w:r w:rsidRPr="00357DDF">
        <w:rPr>
          <w:rFonts w:ascii="Arial" w:eastAsia="Times New Roman" w:hAnsi="Arial" w:cs="Arial"/>
          <w:sz w:val="24"/>
          <w:szCs w:val="24"/>
        </w:rPr>
        <w:t>та об исполнении</w:t>
      </w:r>
    </w:p>
    <w:p w:rsidR="0006278E" w:rsidRPr="00357DDF" w:rsidRDefault="00A20576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бюджета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Pr="00357DDF">
        <w:rPr>
          <w:rFonts w:ascii="Arial" w:eastAsia="Times New Roman" w:hAnsi="Arial" w:cs="Arial"/>
          <w:sz w:val="24"/>
          <w:szCs w:val="24"/>
        </w:rPr>
        <w:t>поселения</w:t>
      </w:r>
    </w:p>
    <w:p w:rsidR="0006278E" w:rsidRPr="00357DDF" w:rsidRDefault="0006278E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57DDF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Pr="00357DDF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A20576" w:rsidRPr="00357DDF" w:rsidRDefault="0006278E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r w:rsidR="00A20576" w:rsidRPr="00357DDF">
        <w:rPr>
          <w:rFonts w:ascii="Arial" w:eastAsia="Times New Roman" w:hAnsi="Arial" w:cs="Arial"/>
          <w:sz w:val="24"/>
          <w:szCs w:val="24"/>
        </w:rPr>
        <w:t xml:space="preserve">за </w:t>
      </w:r>
      <w:r w:rsidR="00007EDC" w:rsidRPr="00357DDF">
        <w:rPr>
          <w:rFonts w:ascii="Arial" w:eastAsia="Times New Roman" w:hAnsi="Arial" w:cs="Arial"/>
          <w:sz w:val="24"/>
          <w:szCs w:val="24"/>
        </w:rPr>
        <w:t>I</w:t>
      </w:r>
      <w:r w:rsidR="003F683A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квартал</w:t>
      </w:r>
      <w:r w:rsidR="00D60F2F" w:rsidRPr="00357DDF">
        <w:rPr>
          <w:rFonts w:ascii="Arial" w:eastAsia="Times New Roman" w:hAnsi="Arial" w:cs="Arial"/>
          <w:sz w:val="24"/>
          <w:szCs w:val="24"/>
        </w:rPr>
        <w:t xml:space="preserve"> 201</w:t>
      </w:r>
      <w:r w:rsidR="00007EDC" w:rsidRPr="00357DDF">
        <w:rPr>
          <w:rFonts w:ascii="Arial" w:eastAsia="Times New Roman" w:hAnsi="Arial" w:cs="Arial"/>
          <w:sz w:val="24"/>
          <w:szCs w:val="24"/>
        </w:rPr>
        <w:t>9</w:t>
      </w:r>
      <w:r w:rsidR="004727E8">
        <w:rPr>
          <w:rFonts w:ascii="Arial" w:eastAsia="Times New Roman" w:hAnsi="Arial" w:cs="Arial"/>
          <w:sz w:val="24"/>
          <w:szCs w:val="24"/>
        </w:rPr>
        <w:t xml:space="preserve"> </w:t>
      </w:r>
      <w:r w:rsidR="00A20576" w:rsidRPr="00357DDF">
        <w:rPr>
          <w:rFonts w:ascii="Arial" w:eastAsia="Times New Roman" w:hAnsi="Arial" w:cs="Arial"/>
          <w:sz w:val="24"/>
          <w:szCs w:val="24"/>
        </w:rPr>
        <w:t>года</w:t>
      </w:r>
    </w:p>
    <w:p w:rsidR="00A20576" w:rsidRPr="00357DDF" w:rsidRDefault="00A20576" w:rsidP="00357D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357DDF" w:rsidRDefault="009950C9" w:rsidP="00357D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E16E2C" w:rsidRPr="00357DDF">
        <w:rPr>
          <w:rFonts w:ascii="Arial" w:eastAsia="Times New Roman" w:hAnsi="Arial" w:cs="Arial"/>
          <w:sz w:val="24"/>
          <w:szCs w:val="24"/>
        </w:rPr>
        <w:t>со ст</w:t>
      </w:r>
      <w:r w:rsidR="00676A9E" w:rsidRPr="00357DDF">
        <w:rPr>
          <w:rFonts w:ascii="Arial" w:eastAsia="Times New Roman" w:hAnsi="Arial" w:cs="Arial"/>
          <w:sz w:val="24"/>
          <w:szCs w:val="24"/>
        </w:rPr>
        <w:t>ать</w:t>
      </w:r>
      <w:r w:rsidR="0070092B" w:rsidRPr="00357DDF">
        <w:rPr>
          <w:rFonts w:ascii="Arial" w:eastAsia="Times New Roman" w:hAnsi="Arial" w:cs="Arial"/>
          <w:sz w:val="24"/>
          <w:szCs w:val="24"/>
        </w:rPr>
        <w:t>е</w:t>
      </w:r>
      <w:r w:rsidR="00676A9E" w:rsidRPr="00357DDF">
        <w:rPr>
          <w:rFonts w:ascii="Arial" w:eastAsia="Times New Roman" w:hAnsi="Arial" w:cs="Arial"/>
          <w:sz w:val="24"/>
          <w:szCs w:val="24"/>
        </w:rPr>
        <w:t>й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 264.2 Бюджетного Кодекса Российской Федерации, </w:t>
      </w:r>
      <w:r w:rsidRPr="00357DDF">
        <w:rPr>
          <w:rFonts w:ascii="Arial" w:eastAsia="Times New Roman" w:hAnsi="Arial" w:cs="Arial"/>
          <w:sz w:val="24"/>
          <w:szCs w:val="24"/>
        </w:rPr>
        <w:t>с</w:t>
      </w:r>
      <w:r w:rsidR="002D6B92" w:rsidRPr="00357DDF">
        <w:rPr>
          <w:rFonts w:ascii="Arial" w:eastAsia="Times New Roman" w:hAnsi="Arial" w:cs="Arial"/>
          <w:sz w:val="24"/>
          <w:szCs w:val="24"/>
        </w:rPr>
        <w:t xml:space="preserve"> пунктом 1 </w:t>
      </w:r>
      <w:r w:rsidRPr="00357DDF">
        <w:rPr>
          <w:rFonts w:ascii="Arial" w:eastAsia="Times New Roman" w:hAnsi="Arial" w:cs="Arial"/>
          <w:sz w:val="24"/>
          <w:szCs w:val="24"/>
        </w:rPr>
        <w:t>ст</w:t>
      </w:r>
      <w:r w:rsidR="00676A9E" w:rsidRPr="00357DDF">
        <w:rPr>
          <w:rFonts w:ascii="Arial" w:eastAsia="Times New Roman" w:hAnsi="Arial" w:cs="Arial"/>
          <w:sz w:val="24"/>
          <w:szCs w:val="24"/>
        </w:rPr>
        <w:t>ать</w:t>
      </w:r>
      <w:r w:rsidR="002D6B92" w:rsidRPr="00357DDF">
        <w:rPr>
          <w:rFonts w:ascii="Arial" w:eastAsia="Times New Roman" w:hAnsi="Arial" w:cs="Arial"/>
          <w:sz w:val="24"/>
          <w:szCs w:val="24"/>
        </w:rPr>
        <w:t>и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2D6B92" w:rsidRPr="00357DDF">
        <w:rPr>
          <w:rFonts w:ascii="Arial" w:eastAsia="Times New Roman" w:hAnsi="Arial" w:cs="Arial"/>
          <w:sz w:val="24"/>
          <w:szCs w:val="24"/>
        </w:rPr>
        <w:t>2</w:t>
      </w:r>
      <w:r w:rsidR="00FF6553" w:rsidRPr="00357DDF">
        <w:rPr>
          <w:rFonts w:ascii="Arial" w:eastAsia="Times New Roman" w:hAnsi="Arial" w:cs="Arial"/>
          <w:sz w:val="24"/>
          <w:szCs w:val="24"/>
        </w:rPr>
        <w:t>2</w:t>
      </w:r>
      <w:r w:rsidRPr="00357DDF">
        <w:rPr>
          <w:rFonts w:ascii="Arial" w:eastAsia="Times New Roman" w:hAnsi="Arial" w:cs="Arial"/>
          <w:sz w:val="24"/>
          <w:szCs w:val="24"/>
        </w:rPr>
        <w:t xml:space="preserve"> Положения о бюджетном процессе </w:t>
      </w:r>
      <w:r w:rsidR="00A20576" w:rsidRPr="00357DD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Цацинском</w:t>
      </w:r>
      <w:proofErr w:type="spellEnd"/>
      <w:r w:rsidR="00A20576" w:rsidRPr="00357DDF">
        <w:rPr>
          <w:rFonts w:ascii="Arial" w:eastAsia="Times New Roman" w:hAnsi="Arial" w:cs="Arial"/>
          <w:sz w:val="24"/>
          <w:szCs w:val="24"/>
        </w:rPr>
        <w:t xml:space="preserve"> сельском поселении,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 утвержд</w:t>
      </w:r>
      <w:r w:rsidR="0070092B" w:rsidRPr="00357DDF">
        <w:rPr>
          <w:rFonts w:ascii="Arial" w:eastAsia="Times New Roman" w:hAnsi="Arial" w:cs="Arial"/>
          <w:sz w:val="24"/>
          <w:szCs w:val="24"/>
        </w:rPr>
        <w:t>е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нного </w:t>
      </w:r>
      <w:r w:rsidR="00A20576" w:rsidRPr="00357DDF">
        <w:rPr>
          <w:rFonts w:ascii="Arial" w:eastAsia="Times New Roman" w:hAnsi="Arial" w:cs="Arial"/>
          <w:sz w:val="24"/>
          <w:szCs w:val="24"/>
        </w:rPr>
        <w:t>р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ешением </w:t>
      </w:r>
      <w:r w:rsidR="00A20576" w:rsidRPr="00357DDF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A20576" w:rsidRPr="00357DDF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9E4903" w:rsidRPr="00357DDF">
        <w:rPr>
          <w:rFonts w:ascii="Arial" w:eastAsia="Times New Roman" w:hAnsi="Arial" w:cs="Arial"/>
          <w:sz w:val="24"/>
          <w:szCs w:val="24"/>
        </w:rPr>
        <w:t>поселения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 от </w:t>
      </w:r>
      <w:r w:rsidR="00B81EB0" w:rsidRPr="00357DDF">
        <w:rPr>
          <w:rFonts w:ascii="Arial" w:eastAsia="Times New Roman" w:hAnsi="Arial" w:cs="Arial"/>
          <w:sz w:val="24"/>
          <w:szCs w:val="24"/>
        </w:rPr>
        <w:t>2</w:t>
      </w:r>
      <w:r w:rsidR="00EE61A1" w:rsidRPr="00357DDF">
        <w:rPr>
          <w:rFonts w:ascii="Arial" w:eastAsia="Times New Roman" w:hAnsi="Arial" w:cs="Arial"/>
          <w:sz w:val="24"/>
          <w:szCs w:val="24"/>
        </w:rPr>
        <w:t>5</w:t>
      </w:r>
      <w:r w:rsidR="000940D3" w:rsidRPr="00357DDF">
        <w:rPr>
          <w:rFonts w:ascii="Arial" w:eastAsia="Times New Roman" w:hAnsi="Arial" w:cs="Arial"/>
          <w:sz w:val="24"/>
          <w:szCs w:val="24"/>
        </w:rPr>
        <w:t>.0</w:t>
      </w:r>
      <w:r w:rsidR="00EE61A1" w:rsidRPr="00357DDF">
        <w:rPr>
          <w:rFonts w:ascii="Arial" w:eastAsia="Times New Roman" w:hAnsi="Arial" w:cs="Arial"/>
          <w:sz w:val="24"/>
          <w:szCs w:val="24"/>
        </w:rPr>
        <w:t>4</w:t>
      </w:r>
      <w:r w:rsidR="000940D3" w:rsidRPr="00357DDF">
        <w:rPr>
          <w:rFonts w:ascii="Arial" w:eastAsia="Times New Roman" w:hAnsi="Arial" w:cs="Arial"/>
          <w:sz w:val="24"/>
          <w:szCs w:val="24"/>
        </w:rPr>
        <w:t>.201</w:t>
      </w:r>
      <w:r w:rsidR="002D6B92" w:rsidRPr="00357DDF">
        <w:rPr>
          <w:rFonts w:ascii="Arial" w:eastAsia="Times New Roman" w:hAnsi="Arial" w:cs="Arial"/>
          <w:sz w:val="24"/>
          <w:szCs w:val="24"/>
        </w:rPr>
        <w:t xml:space="preserve">6 </w:t>
      </w:r>
      <w:r w:rsidR="00E16E2C" w:rsidRPr="00357DDF">
        <w:rPr>
          <w:rFonts w:ascii="Arial" w:eastAsia="Times New Roman" w:hAnsi="Arial" w:cs="Arial"/>
          <w:sz w:val="24"/>
          <w:szCs w:val="24"/>
        </w:rPr>
        <w:t>№</w:t>
      </w:r>
      <w:r w:rsidR="00EE61A1" w:rsidRPr="00357DDF">
        <w:rPr>
          <w:rFonts w:ascii="Arial" w:eastAsia="Times New Roman" w:hAnsi="Arial" w:cs="Arial"/>
          <w:sz w:val="24"/>
          <w:szCs w:val="24"/>
        </w:rPr>
        <w:t>29</w:t>
      </w:r>
      <w:r w:rsidR="00C35020" w:rsidRPr="00357DDF">
        <w:rPr>
          <w:rFonts w:ascii="Arial" w:eastAsia="Times New Roman" w:hAnsi="Arial" w:cs="Arial"/>
          <w:sz w:val="24"/>
          <w:szCs w:val="24"/>
        </w:rPr>
        <w:t>/</w:t>
      </w:r>
      <w:r w:rsidR="00EE61A1" w:rsidRPr="00357DDF">
        <w:rPr>
          <w:rFonts w:ascii="Arial" w:eastAsia="Times New Roman" w:hAnsi="Arial" w:cs="Arial"/>
          <w:sz w:val="24"/>
          <w:szCs w:val="24"/>
        </w:rPr>
        <w:t>74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, </w:t>
      </w:r>
    </w:p>
    <w:p w:rsidR="00EC3FEC" w:rsidRPr="00357DDF" w:rsidRDefault="00EC3FEC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357DDF" w:rsidRDefault="00B3448D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57DDF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357DDF">
        <w:rPr>
          <w:rFonts w:ascii="Arial" w:eastAsia="Times New Roman" w:hAnsi="Arial" w:cs="Arial"/>
          <w:sz w:val="24"/>
          <w:szCs w:val="24"/>
        </w:rPr>
        <w:t xml:space="preserve"> о с т а </w:t>
      </w:r>
      <w:proofErr w:type="spellStart"/>
      <w:r w:rsidRPr="00357DDF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357DDF">
        <w:rPr>
          <w:rFonts w:ascii="Arial" w:eastAsia="Times New Roman" w:hAnsi="Arial" w:cs="Arial"/>
          <w:sz w:val="24"/>
          <w:szCs w:val="24"/>
        </w:rPr>
        <w:t xml:space="preserve"> о в л я ю</w:t>
      </w:r>
      <w:r w:rsidR="009950C9" w:rsidRPr="00357DDF">
        <w:rPr>
          <w:rFonts w:ascii="Arial" w:eastAsia="Times New Roman" w:hAnsi="Arial" w:cs="Arial"/>
          <w:sz w:val="24"/>
          <w:szCs w:val="24"/>
        </w:rPr>
        <w:t>:</w:t>
      </w:r>
    </w:p>
    <w:p w:rsidR="00B3448D" w:rsidRPr="00357DDF" w:rsidRDefault="00B3448D" w:rsidP="00357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F6632" w:rsidRPr="00357DDF" w:rsidRDefault="00FF6632" w:rsidP="00357D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C35020" w:rsidRPr="00357DDF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9E4903" w:rsidRPr="00357DDF">
        <w:rPr>
          <w:rFonts w:ascii="Arial" w:eastAsia="Times New Roman" w:hAnsi="Arial" w:cs="Arial"/>
          <w:sz w:val="24"/>
          <w:szCs w:val="24"/>
        </w:rPr>
        <w:t>поселения</w:t>
      </w:r>
      <w:r w:rsidRPr="00357DDF">
        <w:rPr>
          <w:rFonts w:ascii="Arial" w:eastAsia="Times New Roman" w:hAnsi="Arial" w:cs="Arial"/>
          <w:sz w:val="24"/>
          <w:szCs w:val="24"/>
        </w:rPr>
        <w:t xml:space="preserve"> за </w:t>
      </w:r>
      <w:r w:rsidR="00007EDC" w:rsidRPr="00357DDF">
        <w:rPr>
          <w:rFonts w:ascii="Arial" w:eastAsia="Times New Roman" w:hAnsi="Arial" w:cs="Arial"/>
          <w:sz w:val="24"/>
          <w:szCs w:val="24"/>
        </w:rPr>
        <w:t>I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квартал</w:t>
      </w:r>
      <w:r w:rsidR="00D60F2F" w:rsidRPr="00357DDF">
        <w:rPr>
          <w:rFonts w:ascii="Arial" w:eastAsia="Times New Roman" w:hAnsi="Arial" w:cs="Arial"/>
          <w:sz w:val="24"/>
          <w:szCs w:val="24"/>
        </w:rPr>
        <w:t xml:space="preserve"> 201</w:t>
      </w:r>
      <w:r w:rsidR="00007EDC" w:rsidRPr="00357DDF">
        <w:rPr>
          <w:rFonts w:ascii="Arial" w:eastAsia="Times New Roman" w:hAnsi="Arial" w:cs="Arial"/>
          <w:sz w:val="24"/>
          <w:szCs w:val="24"/>
        </w:rPr>
        <w:t>9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Pr="00357DDF">
        <w:rPr>
          <w:rFonts w:ascii="Arial" w:eastAsia="Times New Roman" w:hAnsi="Arial" w:cs="Arial"/>
          <w:sz w:val="24"/>
          <w:szCs w:val="24"/>
        </w:rPr>
        <w:t>года</w:t>
      </w:r>
      <w:r w:rsidR="00DE7A89" w:rsidRPr="00357DDF">
        <w:rPr>
          <w:rFonts w:ascii="Arial" w:eastAsia="Times New Roman" w:hAnsi="Arial" w:cs="Arial"/>
          <w:sz w:val="24"/>
          <w:szCs w:val="24"/>
        </w:rPr>
        <w:t xml:space="preserve"> по доходам в сумме </w:t>
      </w:r>
      <w:r w:rsidR="00007EDC" w:rsidRPr="00357DDF">
        <w:rPr>
          <w:rFonts w:ascii="Arial" w:eastAsia="Times New Roman" w:hAnsi="Arial" w:cs="Arial"/>
          <w:sz w:val="24"/>
          <w:szCs w:val="24"/>
        </w:rPr>
        <w:t>1 414,2</w:t>
      </w:r>
      <w:r w:rsidR="00DE7A89" w:rsidRPr="00357DDF">
        <w:rPr>
          <w:rFonts w:ascii="Arial" w:eastAsia="Times New Roman" w:hAnsi="Arial" w:cs="Arial"/>
          <w:sz w:val="24"/>
          <w:szCs w:val="24"/>
        </w:rPr>
        <w:t>тыс. руб</w:t>
      </w:r>
      <w:r w:rsidR="002733C6" w:rsidRPr="00357DDF">
        <w:rPr>
          <w:rFonts w:ascii="Arial" w:eastAsia="Times New Roman" w:hAnsi="Arial" w:cs="Arial"/>
          <w:sz w:val="24"/>
          <w:szCs w:val="24"/>
        </w:rPr>
        <w:t>лей</w:t>
      </w:r>
      <w:r w:rsidR="00DE7A89" w:rsidRPr="00357DDF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 w:rsidR="00007EDC" w:rsidRPr="00357DDF">
        <w:rPr>
          <w:rFonts w:ascii="Arial" w:eastAsia="Times New Roman" w:hAnsi="Arial" w:cs="Arial"/>
          <w:sz w:val="24"/>
          <w:szCs w:val="24"/>
        </w:rPr>
        <w:t>1 871,3</w:t>
      </w:r>
      <w:r w:rsidR="002733C6" w:rsidRPr="00357DDF">
        <w:rPr>
          <w:rFonts w:ascii="Arial" w:eastAsia="Times New Roman" w:hAnsi="Arial" w:cs="Arial"/>
          <w:sz w:val="24"/>
          <w:szCs w:val="24"/>
        </w:rPr>
        <w:t>тыс. рублей</w:t>
      </w:r>
      <w:r w:rsidRPr="00357DDF">
        <w:rPr>
          <w:rFonts w:ascii="Arial" w:eastAsia="Times New Roman" w:hAnsi="Arial" w:cs="Arial"/>
          <w:sz w:val="24"/>
          <w:szCs w:val="24"/>
        </w:rPr>
        <w:t xml:space="preserve"> с превышение</w:t>
      </w:r>
      <w:r w:rsidR="00D93993" w:rsidRPr="00357DDF">
        <w:rPr>
          <w:rFonts w:ascii="Arial" w:eastAsia="Times New Roman" w:hAnsi="Arial" w:cs="Arial"/>
          <w:sz w:val="24"/>
          <w:szCs w:val="24"/>
        </w:rPr>
        <w:t>м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EB79FE" w:rsidRPr="00357DDF">
        <w:rPr>
          <w:rFonts w:ascii="Arial" w:eastAsia="Times New Roman" w:hAnsi="Arial" w:cs="Arial"/>
          <w:sz w:val="24"/>
          <w:szCs w:val="24"/>
        </w:rPr>
        <w:t>рас</w:t>
      </w:r>
      <w:r w:rsidRPr="00357DDF">
        <w:rPr>
          <w:rFonts w:ascii="Arial" w:eastAsia="Times New Roman" w:hAnsi="Arial" w:cs="Arial"/>
          <w:sz w:val="24"/>
          <w:szCs w:val="24"/>
        </w:rPr>
        <w:t>ход</w:t>
      </w:r>
      <w:r w:rsidR="002733C6" w:rsidRPr="00357DDF">
        <w:rPr>
          <w:rFonts w:ascii="Arial" w:eastAsia="Times New Roman" w:hAnsi="Arial" w:cs="Arial"/>
          <w:sz w:val="24"/>
          <w:szCs w:val="24"/>
        </w:rPr>
        <w:t xml:space="preserve">ов над </w:t>
      </w:r>
      <w:r w:rsidR="00EB79FE" w:rsidRPr="00357DDF">
        <w:rPr>
          <w:rFonts w:ascii="Arial" w:eastAsia="Times New Roman" w:hAnsi="Arial" w:cs="Arial"/>
          <w:sz w:val="24"/>
          <w:szCs w:val="24"/>
        </w:rPr>
        <w:t>до</w:t>
      </w:r>
      <w:r w:rsidR="002733C6" w:rsidRPr="00357DDF">
        <w:rPr>
          <w:rFonts w:ascii="Arial" w:eastAsia="Times New Roman" w:hAnsi="Arial" w:cs="Arial"/>
          <w:sz w:val="24"/>
          <w:szCs w:val="24"/>
        </w:rPr>
        <w:t>ходами</w:t>
      </w:r>
      <w:r w:rsidRPr="00357DDF">
        <w:rPr>
          <w:rFonts w:ascii="Arial" w:eastAsia="Times New Roman" w:hAnsi="Arial" w:cs="Arial"/>
          <w:sz w:val="24"/>
          <w:szCs w:val="24"/>
        </w:rPr>
        <w:t xml:space="preserve"> (</w:t>
      </w:r>
      <w:r w:rsidR="00EB79FE" w:rsidRPr="00357DDF">
        <w:rPr>
          <w:rFonts w:ascii="Arial" w:eastAsia="Times New Roman" w:hAnsi="Arial" w:cs="Arial"/>
          <w:sz w:val="24"/>
          <w:szCs w:val="24"/>
        </w:rPr>
        <w:t>де</w:t>
      </w:r>
      <w:r w:rsidRPr="00357DDF">
        <w:rPr>
          <w:rFonts w:ascii="Arial" w:eastAsia="Times New Roman" w:hAnsi="Arial" w:cs="Arial"/>
          <w:sz w:val="24"/>
          <w:szCs w:val="24"/>
        </w:rPr>
        <w:t>фицит</w:t>
      </w:r>
      <w:r w:rsidR="002733C6" w:rsidRPr="00357DDF">
        <w:rPr>
          <w:rFonts w:ascii="Arial" w:eastAsia="Times New Roman" w:hAnsi="Arial" w:cs="Arial"/>
          <w:sz w:val="24"/>
          <w:szCs w:val="24"/>
        </w:rPr>
        <w:t xml:space="preserve"> бюджета) в сумме </w:t>
      </w:r>
      <w:r w:rsidR="00007EDC" w:rsidRPr="00357DDF">
        <w:rPr>
          <w:rFonts w:ascii="Arial" w:eastAsia="Times New Roman" w:hAnsi="Arial" w:cs="Arial"/>
          <w:sz w:val="24"/>
          <w:szCs w:val="24"/>
        </w:rPr>
        <w:t>457,1</w:t>
      </w:r>
      <w:r w:rsidRPr="00357DDF">
        <w:rPr>
          <w:rFonts w:ascii="Arial" w:eastAsia="Times New Roman" w:hAnsi="Arial" w:cs="Arial"/>
          <w:sz w:val="24"/>
          <w:szCs w:val="24"/>
        </w:rPr>
        <w:t xml:space="preserve"> тыс. руб</w:t>
      </w:r>
      <w:r w:rsidR="002733C6" w:rsidRPr="00357DDF">
        <w:rPr>
          <w:rFonts w:ascii="Arial" w:eastAsia="Times New Roman" w:hAnsi="Arial" w:cs="Arial"/>
          <w:sz w:val="24"/>
          <w:szCs w:val="24"/>
        </w:rPr>
        <w:t>лей</w:t>
      </w:r>
      <w:r w:rsidR="004727E8">
        <w:rPr>
          <w:rFonts w:ascii="Arial" w:eastAsia="Times New Roman" w:hAnsi="Arial" w:cs="Arial"/>
          <w:sz w:val="24"/>
          <w:szCs w:val="24"/>
        </w:rPr>
        <w:t xml:space="preserve"> </w:t>
      </w:r>
      <w:r w:rsidRPr="00357DDF">
        <w:rPr>
          <w:rFonts w:ascii="Arial" w:eastAsia="Times New Roman" w:hAnsi="Arial" w:cs="Arial"/>
          <w:sz w:val="24"/>
          <w:szCs w:val="24"/>
        </w:rPr>
        <w:t>и следующие показатели:</w:t>
      </w:r>
    </w:p>
    <w:p w:rsidR="00FF6632" w:rsidRPr="00357DDF" w:rsidRDefault="00FF6632" w:rsidP="00357D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="003D7D4E" w:rsidRPr="00357DDF">
        <w:rPr>
          <w:rFonts w:ascii="Arial" w:eastAsia="Times New Roman" w:hAnsi="Arial" w:cs="Arial"/>
          <w:sz w:val="24"/>
          <w:szCs w:val="24"/>
        </w:rPr>
        <w:t xml:space="preserve">доходов бюджета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3D7D4E" w:rsidRPr="00357DDF">
        <w:rPr>
          <w:rFonts w:ascii="Arial" w:eastAsia="Times New Roman" w:hAnsi="Arial" w:cs="Arial"/>
          <w:sz w:val="24"/>
          <w:szCs w:val="24"/>
        </w:rPr>
        <w:t xml:space="preserve"> сельского поселения по кодам классификации доходов бюджетов за </w:t>
      </w:r>
      <w:r w:rsidR="00007EDC" w:rsidRPr="00357DDF">
        <w:rPr>
          <w:rFonts w:ascii="Arial" w:eastAsia="Times New Roman" w:hAnsi="Arial" w:cs="Arial"/>
          <w:sz w:val="24"/>
          <w:szCs w:val="24"/>
        </w:rPr>
        <w:t>I</w:t>
      </w:r>
      <w:r w:rsidR="004727E8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квартал</w:t>
      </w:r>
      <w:r w:rsidR="00D60F2F" w:rsidRPr="00357DDF">
        <w:rPr>
          <w:rFonts w:ascii="Arial" w:eastAsia="Times New Roman" w:hAnsi="Arial" w:cs="Arial"/>
          <w:sz w:val="24"/>
          <w:szCs w:val="24"/>
        </w:rPr>
        <w:t xml:space="preserve"> 201</w:t>
      </w:r>
      <w:r w:rsidR="00007EDC" w:rsidRPr="00357DDF">
        <w:rPr>
          <w:rFonts w:ascii="Arial" w:eastAsia="Times New Roman" w:hAnsi="Arial" w:cs="Arial"/>
          <w:sz w:val="24"/>
          <w:szCs w:val="24"/>
        </w:rPr>
        <w:t>9</w:t>
      </w:r>
      <w:r w:rsidR="003D7D4E" w:rsidRPr="00357DDF">
        <w:rPr>
          <w:rFonts w:ascii="Arial" w:eastAsia="Times New Roman" w:hAnsi="Arial" w:cs="Arial"/>
          <w:sz w:val="24"/>
          <w:szCs w:val="24"/>
        </w:rPr>
        <w:t xml:space="preserve">года </w:t>
      </w:r>
      <w:r w:rsidR="00A877C9" w:rsidRPr="00357DDF">
        <w:rPr>
          <w:rFonts w:ascii="Arial" w:eastAsia="Times New Roman" w:hAnsi="Arial" w:cs="Arial"/>
          <w:sz w:val="24"/>
          <w:szCs w:val="24"/>
        </w:rPr>
        <w:t>согласно приложению</w:t>
      </w:r>
      <w:r w:rsidR="00A538B8" w:rsidRPr="00357DDF">
        <w:rPr>
          <w:rFonts w:ascii="Arial" w:eastAsia="Times New Roman" w:hAnsi="Arial" w:cs="Arial"/>
          <w:sz w:val="24"/>
          <w:szCs w:val="24"/>
        </w:rPr>
        <w:t xml:space="preserve"> №</w:t>
      </w:r>
      <w:r w:rsidR="00A877C9" w:rsidRPr="00357DDF">
        <w:rPr>
          <w:rFonts w:ascii="Arial" w:eastAsia="Times New Roman" w:hAnsi="Arial" w:cs="Arial"/>
          <w:sz w:val="24"/>
          <w:szCs w:val="24"/>
        </w:rPr>
        <w:t>1</w:t>
      </w:r>
      <w:r w:rsidRPr="00357DDF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A877C9" w:rsidRPr="00357DDF">
        <w:rPr>
          <w:rFonts w:ascii="Arial" w:eastAsia="Times New Roman" w:hAnsi="Arial" w:cs="Arial"/>
          <w:sz w:val="24"/>
          <w:szCs w:val="24"/>
        </w:rPr>
        <w:t>постановлению</w:t>
      </w:r>
      <w:r w:rsidRPr="00357DDF">
        <w:rPr>
          <w:rFonts w:ascii="Arial" w:eastAsia="Times New Roman" w:hAnsi="Arial" w:cs="Arial"/>
          <w:sz w:val="24"/>
          <w:szCs w:val="24"/>
        </w:rPr>
        <w:t>;</w:t>
      </w:r>
    </w:p>
    <w:p w:rsidR="00A877C9" w:rsidRPr="00357DDF" w:rsidRDefault="00FF6632" w:rsidP="00357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Pr="00357DDF">
        <w:rPr>
          <w:rFonts w:ascii="Arial" w:eastAsia="Times New Roman" w:hAnsi="Arial" w:cs="Arial"/>
          <w:sz w:val="24"/>
          <w:szCs w:val="24"/>
        </w:rPr>
        <w:t>расход</w:t>
      </w:r>
      <w:r w:rsidR="00A877C9" w:rsidRPr="00357DDF">
        <w:rPr>
          <w:rFonts w:ascii="Arial" w:eastAsia="Times New Roman" w:hAnsi="Arial" w:cs="Arial"/>
          <w:sz w:val="24"/>
          <w:szCs w:val="24"/>
        </w:rPr>
        <w:t>ов</w:t>
      </w:r>
      <w:r w:rsidRPr="00357DDF">
        <w:rPr>
          <w:rFonts w:ascii="Arial" w:eastAsia="Times New Roman" w:hAnsi="Arial" w:cs="Arial"/>
          <w:sz w:val="24"/>
          <w:szCs w:val="24"/>
        </w:rPr>
        <w:t xml:space="preserve"> бюджета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C35020" w:rsidRPr="00357DDF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EF504C" w:rsidRPr="00357DDF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="00A877C9" w:rsidRPr="00357DDF">
        <w:rPr>
          <w:rFonts w:ascii="Arial" w:eastAsia="Times New Roman" w:hAnsi="Arial" w:cs="Arial"/>
          <w:sz w:val="24"/>
          <w:szCs w:val="24"/>
        </w:rPr>
        <w:t>за</w:t>
      </w:r>
      <w:bookmarkStart w:id="0" w:name="_GoBack"/>
      <w:bookmarkEnd w:id="0"/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I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квартал</w:t>
      </w:r>
      <w:r w:rsidR="00D60F2F" w:rsidRPr="00357DDF">
        <w:rPr>
          <w:rFonts w:ascii="Arial" w:eastAsia="Times New Roman" w:hAnsi="Arial" w:cs="Arial"/>
          <w:sz w:val="24"/>
          <w:szCs w:val="24"/>
        </w:rPr>
        <w:t xml:space="preserve"> 201</w:t>
      </w:r>
      <w:r w:rsidR="00007EDC" w:rsidRPr="00357DDF">
        <w:rPr>
          <w:rFonts w:ascii="Arial" w:eastAsia="Times New Roman" w:hAnsi="Arial" w:cs="Arial"/>
          <w:sz w:val="24"/>
          <w:szCs w:val="24"/>
        </w:rPr>
        <w:t>9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года </w:t>
      </w:r>
      <w:r w:rsidRPr="00357DDF">
        <w:rPr>
          <w:rFonts w:ascii="Arial" w:eastAsia="Times New Roman" w:hAnsi="Arial" w:cs="Arial"/>
          <w:sz w:val="24"/>
          <w:szCs w:val="24"/>
        </w:rPr>
        <w:t>по разделам, подразделам классификации расходов бюджетов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согласно приложению </w:t>
      </w:r>
      <w:r w:rsidR="00A538B8" w:rsidRPr="00357DDF">
        <w:rPr>
          <w:rFonts w:ascii="Arial" w:eastAsia="Times New Roman" w:hAnsi="Arial" w:cs="Arial"/>
          <w:sz w:val="24"/>
          <w:szCs w:val="24"/>
        </w:rPr>
        <w:t>№</w:t>
      </w:r>
      <w:r w:rsidR="00D11C4C" w:rsidRPr="00357DDF">
        <w:rPr>
          <w:rFonts w:ascii="Arial" w:eastAsia="Times New Roman" w:hAnsi="Arial" w:cs="Arial"/>
          <w:sz w:val="24"/>
          <w:szCs w:val="24"/>
        </w:rPr>
        <w:t>2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 к настоящему постановлению;</w:t>
      </w:r>
    </w:p>
    <w:p w:rsidR="00D11C4C" w:rsidRPr="00357DDF" w:rsidRDefault="00D11C4C" w:rsidP="00357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- исполнение расходов бюджета </w:t>
      </w:r>
      <w:proofErr w:type="spellStart"/>
      <w:r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eastAsia="Times New Roman" w:hAnsi="Arial" w:cs="Arial"/>
          <w:sz w:val="24"/>
          <w:szCs w:val="24"/>
        </w:rPr>
        <w:t xml:space="preserve"> сельского поселения за      </w:t>
      </w:r>
      <w:r w:rsidR="00007EDC" w:rsidRPr="00357DDF">
        <w:rPr>
          <w:rFonts w:ascii="Arial" w:eastAsia="Times New Roman" w:hAnsi="Arial" w:cs="Arial"/>
          <w:sz w:val="24"/>
          <w:szCs w:val="24"/>
        </w:rPr>
        <w:t>I</w:t>
      </w:r>
      <w:r w:rsidR="004727E8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квартал 2019</w:t>
      </w:r>
      <w:r w:rsidRPr="00357DDF">
        <w:rPr>
          <w:rFonts w:ascii="Arial" w:eastAsia="Times New Roman" w:hAnsi="Arial" w:cs="Arial"/>
          <w:sz w:val="24"/>
          <w:szCs w:val="24"/>
        </w:rPr>
        <w:t xml:space="preserve"> года по ведомственной структуре расходов бюджета согласно приложению № 3 к настоящему постановлению;</w:t>
      </w:r>
    </w:p>
    <w:p w:rsidR="00A877C9" w:rsidRPr="00357DDF" w:rsidRDefault="00FF6632" w:rsidP="00357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="003D7D4E" w:rsidRPr="00357DDF">
        <w:rPr>
          <w:rFonts w:ascii="Arial" w:eastAsia="Times New Roman" w:hAnsi="Arial" w:cs="Arial"/>
          <w:sz w:val="24"/>
          <w:szCs w:val="24"/>
        </w:rPr>
        <w:t xml:space="preserve">источников финансирования дефицита бюджета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3D7D4E" w:rsidRPr="00357DDF">
        <w:rPr>
          <w:rFonts w:ascii="Arial" w:eastAsia="Times New Roman" w:hAnsi="Arial" w:cs="Arial"/>
          <w:sz w:val="24"/>
          <w:szCs w:val="24"/>
        </w:rPr>
        <w:t xml:space="preserve">сельского поселения по кодам </w:t>
      </w:r>
      <w:proofErr w:type="gramStart"/>
      <w:r w:rsidR="003D7D4E" w:rsidRPr="00357DDF">
        <w:rPr>
          <w:rFonts w:ascii="Arial" w:eastAsia="Times New Roman" w:hAnsi="Arial" w:cs="Arial"/>
          <w:sz w:val="24"/>
          <w:szCs w:val="24"/>
        </w:rPr>
        <w:t>классификации источников фина</w:t>
      </w:r>
      <w:r w:rsidR="007515DD" w:rsidRPr="00357DDF">
        <w:rPr>
          <w:rFonts w:ascii="Arial" w:eastAsia="Times New Roman" w:hAnsi="Arial" w:cs="Arial"/>
          <w:sz w:val="24"/>
          <w:szCs w:val="24"/>
        </w:rPr>
        <w:t>нсирования дефицит</w:t>
      </w:r>
      <w:r w:rsidR="00B936F1" w:rsidRPr="00357DDF">
        <w:rPr>
          <w:rFonts w:ascii="Arial" w:eastAsia="Times New Roman" w:hAnsi="Arial" w:cs="Arial"/>
          <w:sz w:val="24"/>
          <w:szCs w:val="24"/>
        </w:rPr>
        <w:t>а</w:t>
      </w:r>
      <w:r w:rsidR="007515DD" w:rsidRPr="00357DDF">
        <w:rPr>
          <w:rFonts w:ascii="Arial" w:eastAsia="Times New Roman" w:hAnsi="Arial" w:cs="Arial"/>
          <w:sz w:val="24"/>
          <w:szCs w:val="24"/>
        </w:rPr>
        <w:t xml:space="preserve"> бюджета</w:t>
      </w:r>
      <w:proofErr w:type="gramEnd"/>
      <w:r w:rsidR="003D7D4E" w:rsidRPr="00357DDF">
        <w:rPr>
          <w:rFonts w:ascii="Arial" w:eastAsia="Times New Roman" w:hAnsi="Arial" w:cs="Arial"/>
          <w:sz w:val="24"/>
          <w:szCs w:val="24"/>
        </w:rPr>
        <w:t xml:space="preserve"> за </w:t>
      </w:r>
      <w:r w:rsidR="00007EDC" w:rsidRPr="00357DDF">
        <w:rPr>
          <w:rFonts w:ascii="Arial" w:eastAsia="Times New Roman" w:hAnsi="Arial" w:cs="Arial"/>
          <w:sz w:val="24"/>
          <w:szCs w:val="24"/>
        </w:rPr>
        <w:t>I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="00007EDC" w:rsidRPr="00357DDF">
        <w:rPr>
          <w:rFonts w:ascii="Arial" w:eastAsia="Times New Roman" w:hAnsi="Arial" w:cs="Arial"/>
          <w:sz w:val="24"/>
          <w:szCs w:val="24"/>
        </w:rPr>
        <w:t>квартал</w:t>
      </w:r>
      <w:r w:rsidR="00D60F2F" w:rsidRPr="00357DDF">
        <w:rPr>
          <w:rFonts w:ascii="Arial" w:eastAsia="Times New Roman" w:hAnsi="Arial" w:cs="Arial"/>
          <w:sz w:val="24"/>
          <w:szCs w:val="24"/>
        </w:rPr>
        <w:t xml:space="preserve"> 201</w:t>
      </w:r>
      <w:r w:rsidR="00007EDC" w:rsidRPr="00357DDF">
        <w:rPr>
          <w:rFonts w:ascii="Arial" w:eastAsia="Times New Roman" w:hAnsi="Arial" w:cs="Arial"/>
          <w:sz w:val="24"/>
          <w:szCs w:val="24"/>
        </w:rPr>
        <w:t>9</w:t>
      </w:r>
      <w:r w:rsidR="003D7D4E" w:rsidRPr="00357DDF">
        <w:rPr>
          <w:rFonts w:ascii="Arial" w:eastAsia="Times New Roman" w:hAnsi="Arial" w:cs="Arial"/>
          <w:sz w:val="24"/>
          <w:szCs w:val="24"/>
        </w:rPr>
        <w:t>года</w:t>
      </w:r>
      <w:r w:rsidRPr="00357DDF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A538B8" w:rsidRPr="00357DDF">
        <w:rPr>
          <w:rFonts w:ascii="Arial" w:eastAsia="Times New Roman" w:hAnsi="Arial" w:cs="Arial"/>
          <w:sz w:val="24"/>
          <w:szCs w:val="24"/>
        </w:rPr>
        <w:t>№</w:t>
      </w:r>
      <w:r w:rsidR="00D9001C" w:rsidRPr="00357DDF">
        <w:rPr>
          <w:rFonts w:ascii="Arial" w:eastAsia="Times New Roman" w:hAnsi="Arial" w:cs="Arial"/>
          <w:sz w:val="24"/>
          <w:szCs w:val="24"/>
        </w:rPr>
        <w:t>4</w:t>
      </w:r>
      <w:r w:rsidR="00A877C9" w:rsidRPr="00357DDF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A96CF3" w:rsidRPr="00357DDF">
        <w:rPr>
          <w:rFonts w:ascii="Arial" w:eastAsia="Times New Roman" w:hAnsi="Arial" w:cs="Arial"/>
          <w:sz w:val="24"/>
          <w:szCs w:val="24"/>
        </w:rPr>
        <w:t>.</w:t>
      </w:r>
    </w:p>
    <w:p w:rsidR="00E16E2C" w:rsidRPr="00357DDF" w:rsidRDefault="00A877C9" w:rsidP="00357D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>2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. </w:t>
      </w:r>
      <w:r w:rsidR="00A538B8" w:rsidRPr="00357DDF">
        <w:rPr>
          <w:rFonts w:ascii="Arial" w:eastAsia="Times New Roman" w:hAnsi="Arial" w:cs="Arial"/>
          <w:sz w:val="24"/>
          <w:szCs w:val="24"/>
        </w:rPr>
        <w:t>Н</w:t>
      </w:r>
      <w:r w:rsidR="00665D68" w:rsidRPr="00357DDF">
        <w:rPr>
          <w:rFonts w:ascii="Arial" w:eastAsia="Times New Roman" w:hAnsi="Arial" w:cs="Arial"/>
          <w:sz w:val="24"/>
          <w:szCs w:val="24"/>
        </w:rPr>
        <w:t>аправить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r w:rsidRPr="00357DDF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 в </w:t>
      </w:r>
      <w:r w:rsidR="00A538B8" w:rsidRPr="00357DDF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EE61A1"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="00A538B8" w:rsidRPr="00357DDF">
        <w:rPr>
          <w:rFonts w:ascii="Arial" w:hAnsi="Arial" w:cs="Arial"/>
          <w:sz w:val="24"/>
          <w:szCs w:val="24"/>
        </w:rPr>
        <w:t xml:space="preserve"> сельского </w:t>
      </w:r>
      <w:r w:rsidR="009E4903" w:rsidRPr="00357DDF">
        <w:rPr>
          <w:rFonts w:ascii="Arial" w:hAnsi="Arial" w:cs="Arial"/>
          <w:sz w:val="24"/>
          <w:szCs w:val="24"/>
        </w:rPr>
        <w:t>поселения</w:t>
      </w:r>
      <w:r w:rsidR="00E16E2C" w:rsidRPr="00357DDF">
        <w:rPr>
          <w:rFonts w:ascii="Arial" w:hAnsi="Arial" w:cs="Arial"/>
          <w:sz w:val="24"/>
          <w:szCs w:val="24"/>
        </w:rPr>
        <w:t xml:space="preserve"> и Контрольно-сч</w:t>
      </w:r>
      <w:r w:rsidR="0070092B" w:rsidRPr="00357DDF">
        <w:rPr>
          <w:rFonts w:ascii="Arial" w:hAnsi="Arial" w:cs="Arial"/>
          <w:sz w:val="24"/>
          <w:szCs w:val="24"/>
        </w:rPr>
        <w:t>е</w:t>
      </w:r>
      <w:r w:rsidR="00E16E2C" w:rsidRPr="00357DDF">
        <w:rPr>
          <w:rFonts w:ascii="Arial" w:hAnsi="Arial" w:cs="Arial"/>
          <w:sz w:val="24"/>
          <w:szCs w:val="24"/>
        </w:rPr>
        <w:t xml:space="preserve">тную </w:t>
      </w:r>
      <w:r w:rsidR="002733C6" w:rsidRPr="00357DDF">
        <w:rPr>
          <w:rFonts w:ascii="Arial" w:hAnsi="Arial" w:cs="Arial"/>
          <w:sz w:val="24"/>
          <w:szCs w:val="24"/>
        </w:rPr>
        <w:t xml:space="preserve">палату </w:t>
      </w:r>
      <w:proofErr w:type="spellStart"/>
      <w:r w:rsidR="002733C6" w:rsidRPr="00357D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33C6" w:rsidRPr="00357DD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005C7" w:rsidRPr="00357DD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733C6" w:rsidRPr="00357DDF">
        <w:rPr>
          <w:rFonts w:ascii="Arial" w:hAnsi="Arial" w:cs="Arial"/>
          <w:sz w:val="24"/>
          <w:szCs w:val="24"/>
        </w:rPr>
        <w:t>.</w:t>
      </w:r>
    </w:p>
    <w:p w:rsidR="00CE4CFE" w:rsidRPr="00357DDF" w:rsidRDefault="00A877C9" w:rsidP="00357D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>3</w:t>
      </w:r>
      <w:r w:rsidR="00E16E2C" w:rsidRPr="00357DDF">
        <w:rPr>
          <w:rFonts w:ascii="Arial" w:eastAsia="Times New Roman" w:hAnsi="Arial" w:cs="Arial"/>
          <w:sz w:val="24"/>
          <w:szCs w:val="24"/>
        </w:rPr>
        <w:t xml:space="preserve">. </w:t>
      </w:r>
      <w:r w:rsidR="004927B2" w:rsidRPr="00357DDF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9E4903" w:rsidRPr="00357DDF">
        <w:rPr>
          <w:rFonts w:ascii="Arial" w:hAnsi="Arial" w:cs="Arial"/>
          <w:sz w:val="24"/>
          <w:szCs w:val="24"/>
        </w:rPr>
        <w:t>обнародованию в установленном порядке</w:t>
      </w:r>
      <w:r w:rsidR="004927B2" w:rsidRPr="00357DDF">
        <w:rPr>
          <w:rFonts w:ascii="Arial" w:hAnsi="Arial" w:cs="Arial"/>
          <w:sz w:val="24"/>
          <w:szCs w:val="24"/>
        </w:rPr>
        <w:t>.</w:t>
      </w:r>
    </w:p>
    <w:p w:rsidR="009950C9" w:rsidRPr="00357DDF" w:rsidRDefault="00A877C9" w:rsidP="00357D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>4</w:t>
      </w:r>
      <w:r w:rsidR="009950C9" w:rsidRPr="00357DDF">
        <w:rPr>
          <w:rFonts w:ascii="Arial" w:eastAsia="Times New Roman" w:hAnsi="Arial" w:cs="Arial"/>
          <w:sz w:val="24"/>
          <w:szCs w:val="24"/>
        </w:rPr>
        <w:t>. Контроль</w:t>
      </w:r>
      <w:r w:rsidRPr="00357DDF">
        <w:rPr>
          <w:rFonts w:ascii="Arial" w:eastAsia="Times New Roman" w:hAnsi="Arial" w:cs="Arial"/>
          <w:sz w:val="24"/>
          <w:szCs w:val="24"/>
        </w:rPr>
        <w:t xml:space="preserve"> над</w:t>
      </w:r>
      <w:r w:rsidR="009950C9" w:rsidRPr="00357DDF">
        <w:rPr>
          <w:rFonts w:ascii="Arial" w:eastAsia="Times New Roman" w:hAnsi="Arial" w:cs="Arial"/>
          <w:sz w:val="24"/>
          <w:szCs w:val="24"/>
        </w:rPr>
        <w:t xml:space="preserve"> исполнением настоящего</w:t>
      </w:r>
      <w:r w:rsidR="004727E8">
        <w:rPr>
          <w:rFonts w:ascii="Arial" w:eastAsia="Times New Roman" w:hAnsi="Arial" w:cs="Arial"/>
          <w:sz w:val="24"/>
          <w:szCs w:val="24"/>
        </w:rPr>
        <w:t xml:space="preserve"> </w:t>
      </w:r>
      <w:r w:rsidR="004927B2" w:rsidRPr="00357DDF">
        <w:rPr>
          <w:rFonts w:ascii="Arial" w:eastAsia="Times New Roman" w:hAnsi="Arial" w:cs="Arial"/>
          <w:sz w:val="24"/>
          <w:szCs w:val="24"/>
        </w:rPr>
        <w:t>п</w:t>
      </w:r>
      <w:r w:rsidR="009950C9" w:rsidRPr="00357DDF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4927B2" w:rsidRPr="00357DDF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B3448D" w:rsidRPr="00357DDF" w:rsidRDefault="00B3448D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92B" w:rsidRPr="00357DDF" w:rsidRDefault="0070092B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F2F" w:rsidRPr="00357DDF" w:rsidRDefault="00D60F2F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4C76" w:rsidRPr="00357DDF" w:rsidRDefault="001A2502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>Г</w:t>
      </w:r>
      <w:r w:rsidR="00E64C76" w:rsidRPr="00357DDF">
        <w:rPr>
          <w:rFonts w:ascii="Arial" w:eastAsia="Times New Roman" w:hAnsi="Arial" w:cs="Arial"/>
          <w:sz w:val="24"/>
          <w:szCs w:val="24"/>
        </w:rPr>
        <w:t>лав</w:t>
      </w:r>
      <w:r w:rsidRPr="00357DDF">
        <w:rPr>
          <w:rFonts w:ascii="Arial" w:eastAsia="Times New Roman" w:hAnsi="Arial" w:cs="Arial"/>
          <w:sz w:val="24"/>
          <w:szCs w:val="24"/>
        </w:rPr>
        <w:t>а</w:t>
      </w:r>
      <w:r w:rsidR="009446FC" w:rsidRPr="00357D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61A1" w:rsidRPr="00357DDF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</w:p>
    <w:p w:rsidR="00A877C9" w:rsidRPr="00357DDF" w:rsidRDefault="008B56F4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DDF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7515DD" w:rsidRPr="00357DDF">
        <w:rPr>
          <w:rFonts w:ascii="Arial" w:eastAsia="Times New Roman" w:hAnsi="Arial" w:cs="Arial"/>
          <w:sz w:val="24"/>
          <w:szCs w:val="24"/>
        </w:rPr>
        <w:tab/>
      </w:r>
      <w:r w:rsidR="007515DD" w:rsidRPr="00357DDF">
        <w:rPr>
          <w:rFonts w:ascii="Arial" w:eastAsia="Times New Roman" w:hAnsi="Arial" w:cs="Arial"/>
          <w:sz w:val="24"/>
          <w:szCs w:val="24"/>
        </w:rPr>
        <w:tab/>
      </w:r>
      <w:r w:rsidR="007515DD" w:rsidRPr="00357DDF">
        <w:rPr>
          <w:rFonts w:ascii="Arial" w:eastAsia="Times New Roman" w:hAnsi="Arial" w:cs="Arial"/>
          <w:sz w:val="24"/>
          <w:szCs w:val="24"/>
        </w:rPr>
        <w:tab/>
      </w:r>
      <w:r w:rsidR="007515DD" w:rsidRPr="00357DDF">
        <w:rPr>
          <w:rFonts w:ascii="Arial" w:eastAsia="Times New Roman" w:hAnsi="Arial" w:cs="Arial"/>
          <w:sz w:val="24"/>
          <w:szCs w:val="24"/>
        </w:rPr>
        <w:tab/>
      </w:r>
      <w:r w:rsidR="007515DD" w:rsidRPr="00357DDF">
        <w:rPr>
          <w:rFonts w:ascii="Arial" w:eastAsia="Times New Roman" w:hAnsi="Arial" w:cs="Arial"/>
          <w:sz w:val="24"/>
          <w:szCs w:val="24"/>
        </w:rPr>
        <w:tab/>
      </w:r>
      <w:r w:rsidR="007515DD" w:rsidRPr="00357DDF">
        <w:rPr>
          <w:rFonts w:ascii="Arial" w:eastAsia="Times New Roman" w:hAnsi="Arial" w:cs="Arial"/>
          <w:sz w:val="24"/>
          <w:szCs w:val="24"/>
        </w:rPr>
        <w:tab/>
      </w:r>
      <w:r w:rsidR="00B81EB0" w:rsidRPr="00357DDF">
        <w:rPr>
          <w:rFonts w:ascii="Arial" w:eastAsia="Times New Roman" w:hAnsi="Arial" w:cs="Arial"/>
          <w:sz w:val="24"/>
          <w:szCs w:val="24"/>
        </w:rPr>
        <w:tab/>
      </w:r>
      <w:r w:rsidR="00EE61A1" w:rsidRPr="00357DDF">
        <w:rPr>
          <w:rFonts w:ascii="Arial" w:eastAsia="Times New Roman" w:hAnsi="Arial" w:cs="Arial"/>
          <w:sz w:val="24"/>
          <w:szCs w:val="24"/>
        </w:rPr>
        <w:t xml:space="preserve">  Н. Н. Попова</w:t>
      </w:r>
    </w:p>
    <w:p w:rsidR="00357DDF" w:rsidRPr="00357DDF" w:rsidRDefault="00357DDF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DDF" w:rsidRPr="00357DDF" w:rsidRDefault="00357DDF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DDF" w:rsidRPr="00357DDF" w:rsidRDefault="00357DDF" w:rsidP="00357DD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О Т Ч Е Т</w:t>
      </w:r>
    </w:p>
    <w:p w:rsidR="00357DDF" w:rsidRPr="00357DDF" w:rsidRDefault="00357DDF" w:rsidP="00357DD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об исполнении бюджета </w:t>
      </w:r>
      <w:proofErr w:type="spellStart"/>
      <w:r w:rsidRPr="00357DD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57DDF" w:rsidRPr="00357DDF" w:rsidRDefault="00357DDF" w:rsidP="00357DD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7DDF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357DD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357DDF" w:rsidRPr="00357DDF" w:rsidRDefault="00357DDF" w:rsidP="00357DD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за I квартал 2019 года 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За I квартал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357DDF" w:rsidRPr="00357DDF" w:rsidRDefault="00357DDF" w:rsidP="00357DDF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Основными итогами исполнения бюджета</w:t>
      </w:r>
      <w:r w:rsidRPr="00357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I квартал 2019 года являются:</w:t>
      </w:r>
    </w:p>
    <w:p w:rsidR="00357DDF" w:rsidRPr="00357DDF" w:rsidRDefault="00357DDF" w:rsidP="00357DD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4840"/>
      </w:tblGrid>
      <w:tr w:rsidR="00357DDF" w:rsidRPr="00357DDF" w:rsidTr="009908E5">
        <w:tc>
          <w:tcPr>
            <w:tcW w:w="4535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7DD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4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7DDF">
              <w:rPr>
                <w:rFonts w:ascii="Arial" w:hAnsi="Arial" w:cs="Arial"/>
                <w:b/>
                <w:sz w:val="24"/>
                <w:szCs w:val="24"/>
              </w:rPr>
              <w:t>Исполнение (тыс. рублей)</w:t>
            </w:r>
          </w:p>
        </w:tc>
      </w:tr>
      <w:tr w:rsidR="00357DDF" w:rsidRPr="00357DDF" w:rsidTr="009908E5">
        <w:tc>
          <w:tcPr>
            <w:tcW w:w="4535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5104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1 414,2</w:t>
            </w:r>
          </w:p>
        </w:tc>
      </w:tr>
      <w:tr w:rsidR="00357DDF" w:rsidRPr="00357DDF" w:rsidTr="009908E5">
        <w:tc>
          <w:tcPr>
            <w:tcW w:w="4535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104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1 871,3</w:t>
            </w:r>
          </w:p>
        </w:tc>
      </w:tr>
      <w:tr w:rsidR="00357DDF" w:rsidRPr="00357DDF" w:rsidTr="009908E5">
        <w:trPr>
          <w:trHeight w:val="60"/>
        </w:trPr>
        <w:tc>
          <w:tcPr>
            <w:tcW w:w="4535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Дефицит</w:t>
            </w:r>
            <w:proofErr w:type="gramStart"/>
            <w:r w:rsidRPr="00357DDF">
              <w:rPr>
                <w:rFonts w:ascii="Arial" w:hAnsi="Arial" w:cs="Arial"/>
                <w:sz w:val="24"/>
                <w:szCs w:val="24"/>
              </w:rPr>
              <w:t xml:space="preserve"> (-) </w:t>
            </w:r>
            <w:proofErr w:type="gramEnd"/>
          </w:p>
        </w:tc>
        <w:tc>
          <w:tcPr>
            <w:tcW w:w="5104" w:type="dxa"/>
            <w:shd w:val="clear" w:color="auto" w:fill="auto"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</w:tr>
    </w:tbl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DDF" w:rsidRPr="00357DDF" w:rsidRDefault="00357DD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Доходы бюджета поселения</w:t>
      </w:r>
    </w:p>
    <w:p w:rsidR="00357DDF" w:rsidRPr="00357DDF" w:rsidRDefault="00357DDF" w:rsidP="00357DDF">
      <w:pPr>
        <w:spacing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357DDF" w:rsidRPr="00357DDF" w:rsidRDefault="00357DDF" w:rsidP="00357DD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7DDF">
        <w:rPr>
          <w:rFonts w:ascii="Arial" w:hAnsi="Arial" w:cs="Arial"/>
        </w:rPr>
        <w:t xml:space="preserve">В бюджет </w:t>
      </w:r>
      <w:proofErr w:type="spellStart"/>
      <w:r w:rsidRPr="00357DDF">
        <w:rPr>
          <w:rFonts w:ascii="Arial" w:hAnsi="Arial" w:cs="Arial"/>
        </w:rPr>
        <w:t>Цацинского</w:t>
      </w:r>
      <w:proofErr w:type="spellEnd"/>
      <w:r w:rsidRPr="00357DDF">
        <w:rPr>
          <w:rFonts w:ascii="Arial" w:hAnsi="Arial" w:cs="Arial"/>
        </w:rPr>
        <w:t xml:space="preserve"> сельского поселения за I квартал 2019 года поступило доходов в сумме 1 414,2 тыс. рублей, исполнение годовых плановых назначений составило 23,0%, по сравнению с аналогичным периодом прошлого года поступление доходов уменьшились на 4 222,7  тыс. рублей или на 74,9%.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Наибольший удельный вес в структуре доходов поселения, поступивших в бюджет за I квартал текущего финансового года, приходится на безвозмездные поступления 76,8%, на собственные доходы (налоговые и неналоговые доходы) 23,2%.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Структура собственных доходов бюджета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I квартал 2019 года представлена на рис. 1.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03520" cy="2313829"/>
            <wp:effectExtent l="0" t="0" r="1143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DDF" w:rsidRPr="00357DDF" w:rsidRDefault="00357DD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Рис.1. Структура собственных доходов бюджета </w:t>
      </w:r>
    </w:p>
    <w:p w:rsidR="00357DDF" w:rsidRPr="00357DDF" w:rsidRDefault="00357DD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7DD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b/>
          <w:sz w:val="24"/>
          <w:szCs w:val="24"/>
        </w:rPr>
        <w:t xml:space="preserve"> сельского поселения за I квартал 2019 года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Фактическое поступление налоговых и неналоговых доходов за I квартал 2019 года составило 327,9 тыс. рублей бюджетные назначения исполнены на 18,2%, по сравнению с аналогичным периодом прошлого года поступление доходов уменьшились на 39,2 тыс. рублей или на 10,7%.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К числу основных доходных источников бюджета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отчетный период относятся: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Налоги на имущество, </w:t>
      </w:r>
      <w:r w:rsidRPr="00357DDF">
        <w:rPr>
          <w:rFonts w:ascii="Arial" w:hAnsi="Arial" w:cs="Arial"/>
          <w:sz w:val="24"/>
          <w:szCs w:val="24"/>
        </w:rPr>
        <w:t>которые составили 37,4% от доли собственных доходов, поступление составило 122,6 тыс. рублей. Бюджетные назначения исполнены на 12,0%, а именно: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DDF">
        <w:rPr>
          <w:rFonts w:ascii="Arial" w:hAnsi="Arial" w:cs="Arial"/>
          <w:sz w:val="24"/>
          <w:szCs w:val="24"/>
        </w:rPr>
        <w:t>-налог на имущество физических лиц поступил в размере -1,6 тыс. рублей, бюджетные назначения исполнены на 0,0%, по сравнению с аналогичным периодом прошлого года поступления по данному налогу уменьшились на 4,8 тыс. рублей;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-земельный налог поступил в размере 124,2 тыс. рублей, бюджетные назначения исполнены на 13,5%, по сравнению с аналогичным периодом прошлого года поступление по данному налогу уменьшились на 4,9 тыс. рублей.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  <w:r w:rsidRPr="00357DDF">
        <w:rPr>
          <w:rFonts w:ascii="Arial" w:hAnsi="Arial" w:cs="Arial"/>
          <w:sz w:val="24"/>
          <w:szCs w:val="24"/>
        </w:rPr>
        <w:t>поступил в сумме 95,8 тыс. рублей или 29,2% собственных доходов. Бюджетные назначения исполнены на 22,7%, по сравнению с аналогичным периодом прошлого года поступления увеличились на 16,8 тыс. рублей или на 21,3%.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Акцизы по подакцизным товарам (продукции), производимым на территории РФ</w:t>
      </w:r>
      <w:r w:rsidRPr="00357DDF">
        <w:rPr>
          <w:rFonts w:ascii="Arial" w:hAnsi="Arial" w:cs="Arial"/>
          <w:sz w:val="24"/>
          <w:szCs w:val="24"/>
        </w:rPr>
        <w:t>, поступление составило 82,8 тыс. рублей или 25,3% собственных доходов. Бюджетные назначения исполнены на 27,0%, по сравнению с аналогичным периодом прошлого года поступления увеличились на 14,9 тыс. рублей или на 21,9%.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/>
          <w:color w:val="000000" w:themeColor="text1"/>
          <w:sz w:val="24"/>
          <w:szCs w:val="24"/>
        </w:rPr>
        <w:t>Штрафы, санкции, возмещение ущерба</w:t>
      </w:r>
      <w:r w:rsidRPr="00357DDF">
        <w:rPr>
          <w:rFonts w:ascii="Arial" w:hAnsi="Arial" w:cs="Arial"/>
          <w:color w:val="000000" w:themeColor="text1"/>
          <w:sz w:val="24"/>
          <w:szCs w:val="24"/>
        </w:rPr>
        <w:t>, поступили в сумме 15,0 тыс. рублей</w:t>
      </w:r>
      <w:r w:rsidRPr="00357DDF">
        <w:rPr>
          <w:rFonts w:ascii="Arial" w:hAnsi="Arial" w:cs="Arial"/>
          <w:sz w:val="24"/>
          <w:szCs w:val="24"/>
        </w:rPr>
        <w:t xml:space="preserve"> или 4,6% собственных доходов, по сравнению с аналогичным периодом </w:t>
      </w:r>
      <w:r w:rsidRPr="00357DDF">
        <w:rPr>
          <w:rFonts w:ascii="Arial" w:hAnsi="Arial" w:cs="Arial"/>
          <w:sz w:val="24"/>
          <w:szCs w:val="24"/>
        </w:rPr>
        <w:lastRenderedPageBreak/>
        <w:t>прошлого года поступление по данному налогу увеличились на 10,5 тыс. рублей.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  <w:r w:rsidRPr="00357DDF">
        <w:rPr>
          <w:rFonts w:ascii="Arial" w:hAnsi="Arial" w:cs="Arial"/>
          <w:sz w:val="24"/>
          <w:szCs w:val="24"/>
        </w:rPr>
        <w:t xml:space="preserve"> за I квартал 2019 года поступил в размере 8,0 тыс. рублей или 2,4% собственных доходов. Бюджетные назначения исполнены на 150,9% по сравнению с аналогичным периодом прошлого года поступление по данному налогу увеличились на 3,0 тыс. рублей или на 60,0%.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357DDF">
        <w:rPr>
          <w:rFonts w:ascii="Arial" w:hAnsi="Arial" w:cs="Arial"/>
          <w:sz w:val="24"/>
          <w:szCs w:val="24"/>
        </w:rPr>
        <w:t xml:space="preserve"> за I квартал 2019 года поступили в размере 3,7 тыс. рублей или 1,1% собственных доходов. Бюджетные назначения исполнены на 7,6%, а именно: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DDF">
        <w:rPr>
          <w:rFonts w:ascii="Arial" w:hAnsi="Arial" w:cs="Arial"/>
          <w:sz w:val="24"/>
          <w:szCs w:val="24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 поступили в сумме 0,0 тыс. рублей, бюджетные назначения исполнены на 0,0%,  по сравнению с аналогичным периодом прошлого года поступления за I квартал 2019 года уменьшились на 69,3 тыс</w:t>
      </w:r>
      <w:proofErr w:type="gramEnd"/>
      <w:r w:rsidRPr="00357DDF">
        <w:rPr>
          <w:rFonts w:ascii="Arial" w:hAnsi="Arial" w:cs="Arial"/>
          <w:sz w:val="24"/>
          <w:szCs w:val="24"/>
        </w:rPr>
        <w:t>. рублей;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-доходы,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поступили в сумме 3,7 тыс. рублей, бюджетные назначения исполнены на </w:t>
      </w:r>
      <w:bookmarkStart w:id="1" w:name="OLE_LINK2"/>
      <w:bookmarkStart w:id="2" w:name="OLE_LINK1"/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24,8%, по сравнению с аналогичным периодом прошлого года поступления за </w:t>
      </w:r>
      <w:r w:rsidRPr="00357DDF">
        <w:rPr>
          <w:rFonts w:ascii="Arial" w:hAnsi="Arial" w:cs="Arial"/>
          <w:sz w:val="24"/>
          <w:szCs w:val="24"/>
        </w:rPr>
        <w:t>I квартал</w:t>
      </w:r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 2019 года </w:t>
      </w:r>
      <w:bookmarkEnd w:id="1"/>
      <w:bookmarkEnd w:id="2"/>
      <w:r w:rsidRPr="00357DDF">
        <w:rPr>
          <w:rFonts w:ascii="Arial" w:hAnsi="Arial" w:cs="Arial"/>
          <w:color w:val="000000" w:themeColor="text1"/>
          <w:sz w:val="24"/>
          <w:szCs w:val="24"/>
        </w:rPr>
        <w:t>остались на том же уровне.</w:t>
      </w:r>
      <w:proofErr w:type="gramEnd"/>
    </w:p>
    <w:p w:rsidR="00357DDF" w:rsidRPr="00357DDF" w:rsidRDefault="00357DDF" w:rsidP="00357DDF">
      <w:pPr>
        <w:tabs>
          <w:tab w:val="left" w:pos="709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7DDF">
        <w:rPr>
          <w:rFonts w:ascii="Arial" w:hAnsi="Arial" w:cs="Arial"/>
          <w:color w:val="000000" w:themeColor="text1"/>
          <w:sz w:val="24"/>
          <w:szCs w:val="24"/>
        </w:rPr>
        <w:tab/>
      </w:r>
      <w:r w:rsidRPr="00357DDF">
        <w:rPr>
          <w:rFonts w:ascii="Arial" w:hAnsi="Arial" w:cs="Arial"/>
          <w:b/>
          <w:color w:val="000000" w:themeColor="text1"/>
          <w:sz w:val="24"/>
          <w:szCs w:val="24"/>
        </w:rPr>
        <w:t>Безвозмездных поступлений</w:t>
      </w:r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r w:rsidRPr="00357DDF">
        <w:rPr>
          <w:rFonts w:ascii="Arial" w:hAnsi="Arial" w:cs="Arial"/>
          <w:sz w:val="24"/>
          <w:szCs w:val="24"/>
        </w:rPr>
        <w:t>I квартал</w:t>
      </w:r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 2019 года получено в сумме 1 086,3 тыс. рублей,  бюджетные назначения исполнены на 25,0%, в том числе: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57DDF">
        <w:rPr>
          <w:rFonts w:ascii="Arial" w:hAnsi="Arial" w:cs="Arial"/>
          <w:color w:val="000000" w:themeColor="text1"/>
          <w:sz w:val="24"/>
          <w:szCs w:val="24"/>
          <w:lang w:eastAsia="ar-SA"/>
        </w:rPr>
        <w:t>-дотации бюджетам бюджетной системы Российской Федерации,</w:t>
      </w:r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7DDF">
        <w:rPr>
          <w:rFonts w:ascii="Arial" w:hAnsi="Arial" w:cs="Arial"/>
          <w:color w:val="000000" w:themeColor="text1"/>
          <w:sz w:val="24"/>
          <w:szCs w:val="24"/>
          <w:lang w:eastAsia="ar-SA"/>
        </w:rPr>
        <w:t>поступили в сумме 402,5 тыс. рублей;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57DDF">
        <w:rPr>
          <w:rFonts w:ascii="Arial" w:hAnsi="Arial" w:cs="Arial"/>
          <w:color w:val="000000" w:themeColor="text1"/>
          <w:sz w:val="24"/>
          <w:szCs w:val="24"/>
          <w:lang w:eastAsia="ar-SA"/>
        </w:rPr>
        <w:t>- субвенции бюджетам бюджетной системы Российской Федерации, поступили в сумме 19,3 тыс. рублей;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57DDF">
        <w:rPr>
          <w:rFonts w:ascii="Arial" w:hAnsi="Arial" w:cs="Arial"/>
          <w:color w:val="000000" w:themeColor="text1"/>
          <w:sz w:val="24"/>
          <w:szCs w:val="24"/>
          <w:lang w:eastAsia="ar-SA"/>
        </w:rPr>
        <w:t>- иные межбюджетные трансферты, поступили в сумме 664,5 тыс. рублей.</w:t>
      </w:r>
    </w:p>
    <w:p w:rsidR="00357DDF" w:rsidRPr="00357DDF" w:rsidRDefault="00357DDF" w:rsidP="00357DDF">
      <w:pPr>
        <w:tabs>
          <w:tab w:val="left" w:pos="11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57DDF" w:rsidRPr="00357DDF" w:rsidRDefault="00357DD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Расходы бюджета поселения </w:t>
      </w:r>
    </w:p>
    <w:p w:rsidR="00357DDF" w:rsidRPr="00357DDF" w:rsidRDefault="00357DD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Расходы бюджета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sz w:val="24"/>
          <w:szCs w:val="24"/>
          <w:lang w:val="en-US"/>
        </w:rPr>
        <w:t>I</w:t>
      </w:r>
      <w:r w:rsidRPr="00357DDF">
        <w:rPr>
          <w:rFonts w:ascii="Arial" w:hAnsi="Arial" w:cs="Arial"/>
          <w:sz w:val="24"/>
          <w:szCs w:val="24"/>
        </w:rPr>
        <w:t xml:space="preserve"> квартал 2019 года составили 1 871,3 тыс. рублей, план годовых назначений выполнен на 30,4 %. 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Исполнение бюджета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sz w:val="24"/>
          <w:szCs w:val="24"/>
          <w:lang w:val="en-US"/>
        </w:rPr>
        <w:t>I</w:t>
      </w:r>
      <w:r w:rsidRPr="00357DDF">
        <w:rPr>
          <w:rFonts w:ascii="Arial" w:hAnsi="Arial" w:cs="Arial"/>
          <w:sz w:val="24"/>
          <w:szCs w:val="24"/>
        </w:rPr>
        <w:t xml:space="preserve"> квартал       2019 года по разделам бюджетной классификации характеризуется следующими данными:</w:t>
      </w:r>
    </w:p>
    <w:p w:rsidR="00357DDF" w:rsidRPr="00357DDF" w:rsidRDefault="00357DDF" w:rsidP="00357DD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тыс. рублей</w:t>
      </w:r>
    </w:p>
    <w:tbl>
      <w:tblPr>
        <w:tblW w:w="9229" w:type="dxa"/>
        <w:tblInd w:w="93" w:type="dxa"/>
        <w:tblLook w:val="04A0"/>
      </w:tblPr>
      <w:tblGrid>
        <w:gridCol w:w="3984"/>
        <w:gridCol w:w="1843"/>
        <w:gridCol w:w="1701"/>
        <w:gridCol w:w="1701"/>
      </w:tblGrid>
      <w:tr w:rsidR="00357DDF" w:rsidRPr="00357DDF" w:rsidTr="009908E5">
        <w:trPr>
          <w:trHeight w:val="7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Плановые назначения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Исполнение бюджета на 01.04.2019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% исполнения годового плана</w:t>
            </w:r>
          </w:p>
        </w:tc>
      </w:tr>
      <w:tr w:rsidR="00357DDF" w:rsidRPr="00357DDF" w:rsidTr="009908E5">
        <w:trPr>
          <w:trHeight w:val="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7DDF" w:rsidRPr="00357DDF" w:rsidTr="009908E5">
        <w:trPr>
          <w:trHeight w:val="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2 704,2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1 045,7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</w:tr>
      <w:tr w:rsidR="00357DDF" w:rsidRPr="00357DDF" w:rsidTr="009908E5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357DDF" w:rsidRPr="00357DDF" w:rsidTr="009908E5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7DDF" w:rsidRPr="00357DDF" w:rsidTr="009908E5">
        <w:trPr>
          <w:trHeight w:val="1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7DDF" w:rsidRPr="00357DDF" w:rsidTr="009908E5">
        <w:trPr>
          <w:trHeight w:val="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357DDF" w:rsidRPr="00357DDF" w:rsidTr="009908E5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</w:tr>
      <w:tr w:rsidR="00357DDF" w:rsidRPr="00357DDF" w:rsidTr="009908E5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1 281,1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484,3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</w:tr>
      <w:tr w:rsidR="00357DDF" w:rsidRPr="00357DDF" w:rsidTr="009908E5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D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57DDF" w:rsidRPr="00357DDF" w:rsidTr="009908E5">
        <w:trPr>
          <w:trHeight w:val="2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DF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DF">
              <w:rPr>
                <w:rFonts w:ascii="Arial" w:hAnsi="Arial" w:cs="Arial"/>
                <w:b/>
                <w:sz w:val="24"/>
                <w:szCs w:val="24"/>
              </w:rPr>
              <w:t>6 146,2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DF">
              <w:rPr>
                <w:rFonts w:ascii="Arial" w:hAnsi="Arial" w:cs="Arial"/>
                <w:b/>
                <w:sz w:val="24"/>
                <w:szCs w:val="24"/>
              </w:rPr>
              <w:t>1 871,3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DDF" w:rsidRPr="00357DDF" w:rsidRDefault="00357DDF" w:rsidP="00357DD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DDF">
              <w:rPr>
                <w:rFonts w:ascii="Arial" w:hAnsi="Arial" w:cs="Arial"/>
                <w:b/>
                <w:sz w:val="24"/>
                <w:szCs w:val="24"/>
              </w:rPr>
              <w:t>30,4</w:t>
            </w:r>
          </w:p>
        </w:tc>
      </w:tr>
    </w:tbl>
    <w:p w:rsidR="00357DDF" w:rsidRPr="00357DDF" w:rsidRDefault="00357DDF" w:rsidP="00357DD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Структура исполнения расходов бюджета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sz w:val="24"/>
          <w:szCs w:val="24"/>
          <w:lang w:val="en-US"/>
        </w:rPr>
        <w:t>I</w:t>
      </w:r>
      <w:r w:rsidRPr="00357DDF">
        <w:rPr>
          <w:rFonts w:ascii="Arial" w:hAnsi="Arial" w:cs="Arial"/>
          <w:sz w:val="24"/>
          <w:szCs w:val="24"/>
        </w:rPr>
        <w:t xml:space="preserve"> квартал 2019 года по разделам классификации бюджета  представлена на рис. 2.</w:t>
      </w:r>
    </w:p>
    <w:p w:rsidR="00357DDF" w:rsidRPr="00357DDF" w:rsidRDefault="00357DDF" w:rsidP="00357DDF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14605</wp:posOffset>
            </wp:positionV>
            <wp:extent cx="5547360" cy="2152015"/>
            <wp:effectExtent l="0" t="0" r="15240" b="19685"/>
            <wp:wrapThrough wrapText="bothSides">
              <wp:wrapPolygon edited="0">
                <wp:start x="0" y="0"/>
                <wp:lineTo x="0" y="21606"/>
                <wp:lineTo x="21585" y="21606"/>
                <wp:lineTo x="21585" y="0"/>
                <wp:lineTo x="0" y="0"/>
              </wp:wrapPolygon>
            </wp:wrapThrough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357DDF">
        <w:rPr>
          <w:rFonts w:ascii="Arial" w:hAnsi="Arial" w:cs="Arial"/>
          <w:b/>
          <w:sz w:val="24"/>
          <w:szCs w:val="24"/>
        </w:rPr>
        <w:t>Рис. 2. Структура расходов бюджета</w:t>
      </w:r>
    </w:p>
    <w:p w:rsidR="00357DDF" w:rsidRPr="00357DDF" w:rsidRDefault="00357DDF" w:rsidP="00357D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7DD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b/>
          <w:sz w:val="24"/>
          <w:szCs w:val="24"/>
          <w:lang w:val="en-US"/>
        </w:rPr>
        <w:t>I</w:t>
      </w:r>
      <w:r w:rsidRPr="00357DDF">
        <w:rPr>
          <w:rFonts w:ascii="Arial" w:hAnsi="Arial" w:cs="Arial"/>
          <w:b/>
          <w:sz w:val="24"/>
          <w:szCs w:val="24"/>
        </w:rPr>
        <w:t xml:space="preserve"> квартал 2019 года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В</w:t>
      </w:r>
      <w:r w:rsidRPr="00357DDF">
        <w:rPr>
          <w:rFonts w:ascii="Arial" w:hAnsi="Arial" w:cs="Arial"/>
          <w:sz w:val="24"/>
          <w:szCs w:val="24"/>
        </w:rPr>
        <w:t xml:space="preserve"> структуре исполнения расходов бюджета </w:t>
      </w: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sz w:val="24"/>
          <w:szCs w:val="24"/>
          <w:lang w:val="en-US"/>
        </w:rPr>
        <w:t>I</w:t>
      </w:r>
      <w:r w:rsidRPr="00357DDF">
        <w:rPr>
          <w:rFonts w:ascii="Arial" w:hAnsi="Arial" w:cs="Arial"/>
          <w:sz w:val="24"/>
          <w:szCs w:val="24"/>
        </w:rPr>
        <w:t xml:space="preserve"> квартал 2019 года 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наибольший удельный вес занимают расходы </w:t>
      </w:r>
      <w:r w:rsidRPr="00357DDF">
        <w:rPr>
          <w:rFonts w:ascii="Arial" w:hAnsi="Arial" w:cs="Arial"/>
          <w:sz w:val="24"/>
          <w:szCs w:val="24"/>
        </w:rPr>
        <w:t xml:space="preserve">по разделу </w:t>
      </w:r>
      <w:r w:rsidRPr="00357DDF">
        <w:rPr>
          <w:rFonts w:ascii="Arial" w:hAnsi="Arial" w:cs="Arial"/>
          <w:b/>
          <w:sz w:val="24"/>
          <w:szCs w:val="24"/>
        </w:rPr>
        <w:t xml:space="preserve">0100 «Общегосударственные вопросы» - </w:t>
      </w:r>
      <w:r w:rsidRPr="00357DDF">
        <w:rPr>
          <w:rFonts w:ascii="Arial" w:hAnsi="Arial" w:cs="Arial"/>
          <w:sz w:val="24"/>
          <w:szCs w:val="24"/>
        </w:rPr>
        <w:t>55,9</w:t>
      </w:r>
      <w:r w:rsidRPr="00357DDF">
        <w:rPr>
          <w:rFonts w:ascii="Arial" w:hAnsi="Arial" w:cs="Arial"/>
          <w:b/>
          <w:sz w:val="24"/>
          <w:szCs w:val="24"/>
        </w:rPr>
        <w:t xml:space="preserve"> </w:t>
      </w:r>
      <w:r w:rsidRPr="00357DDF">
        <w:rPr>
          <w:rFonts w:ascii="Arial" w:hAnsi="Arial" w:cs="Arial"/>
          <w:sz w:val="24"/>
          <w:szCs w:val="24"/>
        </w:rPr>
        <w:t xml:space="preserve">%, что в сумме </w:t>
      </w:r>
      <w:r w:rsidRPr="00357DDF">
        <w:rPr>
          <w:rFonts w:ascii="Arial" w:hAnsi="Arial" w:cs="Arial"/>
          <w:sz w:val="24"/>
          <w:szCs w:val="24"/>
        </w:rPr>
        <w:lastRenderedPageBreak/>
        <w:t xml:space="preserve">составляет 1 045,7 тыс. рублей. План годовых назначений выполнен на 38,7 %. </w:t>
      </w:r>
      <w:r w:rsidRPr="00357DDF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0102 «Функционирование высшего должностного лица субъекта Российской Федерации и муниципального образования» - 172,7 тыс. рублей. План годовых назначений выполнен на 51,6 %;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- 551,1 тыс. рублей. План годовых назначений выполнен на 34,9 %;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- 90,0 тыс. рублей. План годовых назначений выполнен на 100,0 %;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0107 «Обеспечение проведения выборов и референдумов» при запланированных назначениях в сумме 151,7 тыс. рублей фактически расходы отсутствуют;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0111 «Резервные фонды» при запланированных назначениях в сумме 5,0 тыс. рублей фактические расходы не производились;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0113 «Другие общегосударственные вопросы» - 231,9 тыс. рублей. План годовых назначений выполнен на 42,7 %.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По разделу</w:t>
      </w:r>
      <w:r w:rsidRPr="00357DDF">
        <w:rPr>
          <w:rFonts w:ascii="Arial" w:hAnsi="Arial" w:cs="Arial"/>
          <w:b/>
          <w:sz w:val="24"/>
          <w:szCs w:val="24"/>
        </w:rPr>
        <w:t xml:space="preserve"> 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 xml:space="preserve">0200 «Национальная оборона» 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(подразделу 0203 «Мобилизационная и вневойсковая подготовка») сумма расходов составила   16,1 тыс. рублей, что составляет 0,8 % в общей сумме расходов, план годовых назначений выполнен на 22,0 %. 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По разделу 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>0300 «</w:t>
      </w:r>
      <w:r w:rsidRPr="00357DDF">
        <w:rPr>
          <w:rFonts w:ascii="Arial" w:hAnsi="Arial" w:cs="Arial"/>
          <w:b/>
          <w:sz w:val="24"/>
          <w:szCs w:val="24"/>
        </w:rPr>
        <w:t>Национальная безопасность и правоохранительная деятельность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>» (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подразделу 0310 «Обеспечение пожарной безопасности») при запланированных назначениях в сумме 200,0 тыс. рублей фактически расходы отсутствуют. 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>0400 «Национальная экономика» (</w:t>
      </w:r>
      <w:r w:rsidRPr="00357DDF">
        <w:rPr>
          <w:rFonts w:ascii="Arial" w:hAnsi="Arial" w:cs="Arial"/>
          <w:bCs/>
          <w:iCs/>
          <w:sz w:val="24"/>
          <w:szCs w:val="24"/>
        </w:rPr>
        <w:t>подразделу 0409 «Дорожное хозяйство (дорожные фонды)») при запланированных назначениях в сумме 306,7 тыс. рублей фактические расходы не производились.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0500 «Жилищно-коммунальное хозяйство» - </w:t>
      </w:r>
      <w:r w:rsidRPr="00357DDF">
        <w:rPr>
          <w:rFonts w:ascii="Arial" w:hAnsi="Arial" w:cs="Arial"/>
          <w:sz w:val="24"/>
          <w:szCs w:val="24"/>
        </w:rPr>
        <w:t>1,7</w:t>
      </w:r>
      <w:r w:rsidRPr="00357DDF">
        <w:rPr>
          <w:rFonts w:ascii="Arial" w:hAnsi="Arial" w:cs="Arial"/>
          <w:b/>
          <w:sz w:val="24"/>
          <w:szCs w:val="24"/>
        </w:rPr>
        <w:t xml:space="preserve"> </w:t>
      </w:r>
      <w:r w:rsidRPr="00357DDF">
        <w:rPr>
          <w:rFonts w:ascii="Arial" w:hAnsi="Arial" w:cs="Arial"/>
          <w:sz w:val="24"/>
          <w:szCs w:val="24"/>
        </w:rPr>
        <w:t xml:space="preserve">%, что в сумме составляет 32,0 тыс. рублей. План годовых назначений выполнен на 4,6 %. </w:t>
      </w:r>
      <w:r w:rsidRPr="00357DDF">
        <w:rPr>
          <w:rFonts w:ascii="Arial" w:hAnsi="Arial" w:cs="Arial"/>
          <w:bCs/>
          <w:iCs/>
          <w:sz w:val="24"/>
          <w:szCs w:val="24"/>
        </w:rPr>
        <w:t>В том числе по подразделам расходы составили: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0501 «Жилищное хозяйство» - 7,2 тыс. рублей. План годовых назначений выполнен на 24,7 %;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>- по подразделу 0503 «Благоустройство» - 24,8 тыс. рублей. План годовых назначений выполнен на 3,7 %.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>0700 «О</w:t>
      </w:r>
      <w:r w:rsidRPr="00357DDF">
        <w:rPr>
          <w:rFonts w:ascii="Arial" w:hAnsi="Arial" w:cs="Arial"/>
          <w:b/>
          <w:sz w:val="24"/>
          <w:szCs w:val="24"/>
        </w:rPr>
        <w:t>бразование»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 (подразделу 0707 «Молодежная политика») сумма расходов составила 261,7 тыс. рублей, что составляет 14,0 % в общей сумме расходов. </w:t>
      </w:r>
      <w:r w:rsidRPr="00357DDF">
        <w:rPr>
          <w:rFonts w:ascii="Arial" w:hAnsi="Arial" w:cs="Arial"/>
          <w:sz w:val="24"/>
          <w:szCs w:val="24"/>
        </w:rPr>
        <w:t xml:space="preserve">План годовых назначений по разделу выполнен на     34,4 %. 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lastRenderedPageBreak/>
        <w:t>По разделу</w:t>
      </w:r>
      <w:r w:rsidRPr="00357DDF">
        <w:rPr>
          <w:rFonts w:ascii="Arial" w:hAnsi="Arial" w:cs="Arial"/>
          <w:b/>
          <w:sz w:val="24"/>
          <w:szCs w:val="24"/>
        </w:rPr>
        <w:t xml:space="preserve"> 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 xml:space="preserve">0800 «Культура, кинематография» </w:t>
      </w:r>
      <w:r w:rsidRPr="00357DDF">
        <w:rPr>
          <w:rFonts w:ascii="Arial" w:hAnsi="Arial" w:cs="Arial"/>
          <w:bCs/>
          <w:iCs/>
          <w:sz w:val="24"/>
          <w:szCs w:val="24"/>
        </w:rPr>
        <w:t>(подразделу 0801 «Культура») сумма расходов составила 484,3 тыс. рублей, что составляет 25,9 % в общей сумме расходов. План годовых назначений по разделу выполнен на  37,8 %.</w:t>
      </w:r>
      <w:r w:rsidRPr="00357DDF">
        <w:rPr>
          <w:rFonts w:ascii="Arial" w:hAnsi="Arial" w:cs="Arial"/>
          <w:sz w:val="24"/>
          <w:szCs w:val="24"/>
        </w:rPr>
        <w:t xml:space="preserve"> 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В том числе расходы на обеспечение деятельности МКУК "Дом культуры </w:t>
      </w:r>
      <w:proofErr w:type="spellStart"/>
      <w:r w:rsidRPr="00357DDF">
        <w:rPr>
          <w:rFonts w:ascii="Arial" w:hAnsi="Arial" w:cs="Arial"/>
          <w:bCs/>
          <w:iCs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bCs/>
          <w:iCs/>
          <w:sz w:val="24"/>
          <w:szCs w:val="24"/>
        </w:rPr>
        <w:t xml:space="preserve"> сельского поселения" составили 269,5 тыс. рублей, МКУК "</w:t>
      </w:r>
      <w:proofErr w:type="spellStart"/>
      <w:r w:rsidRPr="00357DDF">
        <w:rPr>
          <w:rFonts w:ascii="Arial" w:hAnsi="Arial" w:cs="Arial"/>
          <w:bCs/>
          <w:iCs/>
          <w:sz w:val="24"/>
          <w:szCs w:val="24"/>
        </w:rPr>
        <w:t>Цацинская</w:t>
      </w:r>
      <w:proofErr w:type="spellEnd"/>
      <w:r w:rsidRPr="00357DDF">
        <w:rPr>
          <w:rFonts w:ascii="Arial" w:hAnsi="Arial" w:cs="Arial"/>
          <w:bCs/>
          <w:iCs/>
          <w:sz w:val="24"/>
          <w:szCs w:val="24"/>
        </w:rPr>
        <w:t xml:space="preserve"> сельская библиотека" – 203,5 тыс. рублей. Уплачено налогов учреждениями культуры 11,3 тыс. рублей.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bCs/>
          <w:iCs/>
          <w:sz w:val="24"/>
          <w:szCs w:val="24"/>
        </w:rPr>
        <w:t xml:space="preserve">По разделу </w:t>
      </w:r>
      <w:r w:rsidRPr="00357DDF">
        <w:rPr>
          <w:rFonts w:ascii="Arial" w:hAnsi="Arial" w:cs="Arial"/>
          <w:b/>
          <w:bCs/>
          <w:iCs/>
          <w:sz w:val="24"/>
          <w:szCs w:val="24"/>
        </w:rPr>
        <w:t>1000 «Социальная политика»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 (подразделу 1001 «Пенсионное обеспечение») сумма расходов составила 31,5 тыс. рублей, что составляет 1,7 % в общей сумме расходов. План годовых назначений по разделу выполнен на  25,0 %.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7DD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403860</wp:posOffset>
            </wp:positionV>
            <wp:extent cx="5669280" cy="1908175"/>
            <wp:effectExtent l="0" t="0" r="7620" b="0"/>
            <wp:wrapThrough wrapText="bothSides">
              <wp:wrapPolygon edited="0">
                <wp:start x="0" y="0"/>
                <wp:lineTo x="0" y="21348"/>
                <wp:lineTo x="21556" y="21348"/>
                <wp:lineTo x="21556" y="0"/>
                <wp:lineTo x="0" y="0"/>
              </wp:wrapPolygon>
            </wp:wrapThrough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357DDF">
        <w:rPr>
          <w:rFonts w:ascii="Arial" w:hAnsi="Arial" w:cs="Arial"/>
          <w:b/>
          <w:bCs/>
          <w:iCs/>
          <w:sz w:val="24"/>
          <w:szCs w:val="24"/>
        </w:rPr>
        <w:t>Экономическая структура расходов бюджета</w:t>
      </w:r>
      <w:r w:rsidRPr="00357DDF">
        <w:rPr>
          <w:rFonts w:ascii="Arial" w:hAnsi="Arial" w:cs="Arial"/>
          <w:bCs/>
          <w:iCs/>
          <w:sz w:val="24"/>
          <w:szCs w:val="24"/>
        </w:rPr>
        <w:t xml:space="preserve"> поселения характеризуется следующими показателями (рисунок 3).</w:t>
      </w:r>
    </w:p>
    <w:p w:rsidR="00357DDF" w:rsidRPr="00357DDF" w:rsidRDefault="00357DDF" w:rsidP="00357DD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b/>
          <w:sz w:val="24"/>
          <w:szCs w:val="24"/>
        </w:rPr>
        <w:t xml:space="preserve">Рис. 3. Экономическая структура расходов бюджета </w:t>
      </w:r>
    </w:p>
    <w:p w:rsidR="00357DDF" w:rsidRPr="00357DDF" w:rsidRDefault="00357DDF" w:rsidP="00357DD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7DDF">
        <w:rPr>
          <w:rFonts w:ascii="Arial" w:hAnsi="Arial" w:cs="Arial"/>
          <w:b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b/>
          <w:sz w:val="24"/>
          <w:szCs w:val="24"/>
          <w:lang w:val="en-US"/>
        </w:rPr>
        <w:t>I</w:t>
      </w:r>
      <w:r w:rsidRPr="00357DDF">
        <w:rPr>
          <w:rFonts w:ascii="Arial" w:hAnsi="Arial" w:cs="Arial"/>
          <w:b/>
          <w:sz w:val="24"/>
          <w:szCs w:val="24"/>
        </w:rPr>
        <w:t xml:space="preserve"> квартал 2019 года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На выплаты персоналу и взносы на обязательное социальное страхование сумма расходов составила 1 105,4 тыс. рублей или 59,1 % в общей сумме расходов бюджета.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На закупки товаров, работ и услуг для муниципальных нужд расходы составили 482,7 тыс. рублей или 25,8 % в общей сумме расходов.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На социальное обеспечение и иные выплаты населению расходы составили 91,8 тыс. рублей или 4,9 % в общей сумме расходов.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179,4 тыс. рублей или 9,6 % в общей сумме расходов. 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На иные бюджетные ассигнования сумма расходов составила 12,0 тыс. рублей или 0,6 % в общей сумме расходов бюджета. </w:t>
      </w: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1 871,3 тыс. рублей. </w:t>
      </w:r>
    </w:p>
    <w:p w:rsidR="00357DDF" w:rsidRPr="00357DDF" w:rsidRDefault="00357DDF" w:rsidP="00357DDF">
      <w:pPr>
        <w:pStyle w:val="ConsNormal"/>
        <w:ind w:firstLine="0"/>
        <w:jc w:val="center"/>
        <w:rPr>
          <w:b/>
          <w:sz w:val="24"/>
          <w:szCs w:val="24"/>
        </w:rPr>
      </w:pPr>
    </w:p>
    <w:p w:rsidR="00357DDF" w:rsidRPr="00357DDF" w:rsidRDefault="00357DDF" w:rsidP="00357DDF">
      <w:pPr>
        <w:pStyle w:val="ConsNormal"/>
        <w:ind w:firstLine="0"/>
        <w:jc w:val="center"/>
        <w:rPr>
          <w:b/>
          <w:sz w:val="24"/>
          <w:szCs w:val="24"/>
        </w:rPr>
      </w:pPr>
      <w:r w:rsidRPr="00357DDF">
        <w:rPr>
          <w:b/>
          <w:sz w:val="24"/>
          <w:szCs w:val="24"/>
        </w:rPr>
        <w:t>Источники финансирования дефицита бюджета</w:t>
      </w:r>
    </w:p>
    <w:p w:rsidR="00357DDF" w:rsidRPr="00357DDF" w:rsidRDefault="00357DDF" w:rsidP="00357DDF">
      <w:pPr>
        <w:pStyle w:val="ConsNormal"/>
        <w:ind w:firstLine="0"/>
        <w:jc w:val="center"/>
        <w:rPr>
          <w:b/>
          <w:sz w:val="24"/>
          <w:szCs w:val="24"/>
        </w:rPr>
      </w:pPr>
    </w:p>
    <w:p w:rsidR="00357DDF" w:rsidRPr="00357DDF" w:rsidRDefault="00357DDF" w:rsidP="00357DDF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Бюджет </w:t>
      </w:r>
      <w:proofErr w:type="spellStart"/>
      <w:r w:rsidRPr="00357DDF">
        <w:rPr>
          <w:rFonts w:ascii="Arial" w:hAnsi="Arial" w:cs="Arial"/>
          <w:color w:val="000000" w:themeColor="text1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 </w:t>
      </w:r>
      <w:r w:rsidRPr="00357DDF">
        <w:rPr>
          <w:rFonts w:ascii="Arial" w:hAnsi="Arial" w:cs="Arial"/>
          <w:sz w:val="24"/>
          <w:szCs w:val="24"/>
        </w:rPr>
        <w:t>I квартал</w:t>
      </w:r>
      <w:r w:rsidRPr="00357DDF">
        <w:rPr>
          <w:rFonts w:ascii="Arial" w:hAnsi="Arial" w:cs="Arial"/>
          <w:color w:val="000000" w:themeColor="text1"/>
          <w:sz w:val="24"/>
          <w:szCs w:val="24"/>
        </w:rPr>
        <w:t xml:space="preserve"> 2019 года исполнен с превышением расходов над доходами (дефицит бюджета) в размере 457,1 тыс. рублей.</w:t>
      </w:r>
    </w:p>
    <w:p w:rsidR="00357DDF" w:rsidRPr="00357DDF" w:rsidRDefault="00357DDF" w:rsidP="00357D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7DDF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357DDF" w:rsidRPr="00357DDF" w:rsidRDefault="00357DDF" w:rsidP="00357D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57DDF">
        <w:rPr>
          <w:rFonts w:ascii="Arial" w:hAnsi="Arial" w:cs="Arial"/>
          <w:sz w:val="24"/>
          <w:szCs w:val="24"/>
        </w:rPr>
        <w:t>Цацинского</w:t>
      </w:r>
      <w:proofErr w:type="spellEnd"/>
      <w:r w:rsidRPr="00357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57DDF">
        <w:rPr>
          <w:rFonts w:ascii="Arial" w:hAnsi="Arial" w:cs="Arial"/>
          <w:sz w:val="24"/>
          <w:szCs w:val="24"/>
        </w:rPr>
        <w:tab/>
      </w:r>
      <w:r w:rsidRPr="00357DDF">
        <w:rPr>
          <w:rFonts w:ascii="Arial" w:hAnsi="Arial" w:cs="Arial"/>
          <w:sz w:val="24"/>
          <w:szCs w:val="24"/>
        </w:rPr>
        <w:tab/>
      </w:r>
      <w:r w:rsidRPr="00357DDF">
        <w:rPr>
          <w:rFonts w:ascii="Arial" w:hAnsi="Arial" w:cs="Arial"/>
          <w:sz w:val="24"/>
          <w:szCs w:val="24"/>
        </w:rPr>
        <w:tab/>
      </w:r>
      <w:r w:rsidRPr="00357DDF">
        <w:rPr>
          <w:rFonts w:ascii="Arial" w:hAnsi="Arial" w:cs="Arial"/>
          <w:sz w:val="24"/>
          <w:szCs w:val="24"/>
        </w:rPr>
        <w:tab/>
      </w:r>
      <w:r w:rsidRPr="00357DDF">
        <w:rPr>
          <w:rFonts w:ascii="Arial" w:hAnsi="Arial" w:cs="Arial"/>
          <w:sz w:val="24"/>
          <w:szCs w:val="24"/>
        </w:rPr>
        <w:tab/>
        <w:t xml:space="preserve">  И. О. Сидоренко</w:t>
      </w:r>
    </w:p>
    <w:p w:rsidR="00357DDF" w:rsidRDefault="00357DDF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9908E5" w:rsidSect="00D60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446" w:type="dxa"/>
        <w:tblInd w:w="108" w:type="dxa"/>
        <w:tblLook w:val="04A0"/>
      </w:tblPr>
      <w:tblGrid>
        <w:gridCol w:w="2830"/>
        <w:gridCol w:w="5960"/>
        <w:gridCol w:w="1880"/>
        <w:gridCol w:w="1903"/>
        <w:gridCol w:w="1873"/>
      </w:tblGrid>
      <w:tr w:rsidR="009908E5" w:rsidRPr="009908E5" w:rsidTr="009908E5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E83"/>
            <w:bookmarkEnd w:id="3"/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9908E5" w:rsidRPr="009908E5" w:rsidTr="009908E5">
        <w:trPr>
          <w:trHeight w:val="10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"Об исполнении бюджета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Светлоярского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за </w:t>
            </w:r>
            <w:r w:rsidRPr="009908E5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2019 года "</w:t>
            </w:r>
          </w:p>
        </w:tc>
      </w:tr>
      <w:tr w:rsidR="009908E5" w:rsidRPr="009908E5" w:rsidTr="009908E5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8E5" w:rsidRPr="009908E5" w:rsidTr="009908E5">
        <w:trPr>
          <w:trHeight w:val="315"/>
        </w:trPr>
        <w:tc>
          <w:tcPr>
            <w:tcW w:w="1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1 квартал 2019 года</w:t>
            </w:r>
          </w:p>
        </w:tc>
      </w:tr>
      <w:tr w:rsidR="009908E5" w:rsidRPr="009908E5" w:rsidTr="009908E5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9908E5" w:rsidRPr="009908E5" w:rsidTr="009908E5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9908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99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908E5" w:rsidRPr="009908E5" w:rsidTr="009908E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08E5" w:rsidRPr="009908E5" w:rsidTr="009908E5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1 801,0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18,2%</w:t>
            </w:r>
          </w:p>
        </w:tc>
      </w:tr>
      <w:tr w:rsidR="009908E5" w:rsidRPr="009908E5" w:rsidTr="009908E5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22,7%</w:t>
            </w:r>
          </w:p>
        </w:tc>
      </w:tr>
      <w:tr w:rsidR="009908E5" w:rsidRPr="009908E5" w:rsidTr="009908E5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9908E5" w:rsidRPr="009908E5" w:rsidTr="009908E5">
        <w:trPr>
          <w:trHeight w:val="16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415,2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9908E5" w:rsidRPr="009908E5" w:rsidTr="009908E5">
        <w:trPr>
          <w:trHeight w:val="25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1400,0%</w:t>
            </w:r>
          </w:p>
        </w:tc>
      </w:tr>
      <w:tr w:rsidR="009908E5" w:rsidRPr="009908E5" w:rsidTr="009908E5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136,4%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27,0%</w:t>
            </w:r>
          </w:p>
        </w:tc>
      </w:tr>
      <w:tr w:rsidR="009908E5" w:rsidRPr="009908E5" w:rsidTr="009908E5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32,7%</w:t>
            </w:r>
          </w:p>
        </w:tc>
      </w:tr>
      <w:tr w:rsidR="009908E5" w:rsidRPr="009908E5" w:rsidTr="009908E5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9908E5" w:rsidRPr="009908E5" w:rsidTr="009908E5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24,7%</w:t>
            </w:r>
          </w:p>
        </w:tc>
      </w:tr>
      <w:tr w:rsidR="009908E5" w:rsidRPr="009908E5" w:rsidTr="009908E5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9908E5" w:rsidRPr="009908E5" w:rsidTr="009908E5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150,9%</w:t>
            </w:r>
          </w:p>
        </w:tc>
      </w:tr>
      <w:tr w:rsidR="009908E5" w:rsidRPr="009908E5" w:rsidTr="009908E5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150,9%</w:t>
            </w:r>
          </w:p>
        </w:tc>
      </w:tr>
      <w:tr w:rsidR="009908E5" w:rsidRPr="009908E5" w:rsidTr="009908E5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150,9%</w:t>
            </w:r>
          </w:p>
        </w:tc>
      </w:tr>
      <w:tr w:rsidR="009908E5" w:rsidRPr="009908E5" w:rsidTr="009908E5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1 018,4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12,0%</w:t>
            </w:r>
          </w:p>
        </w:tc>
      </w:tr>
      <w:tr w:rsidR="009908E5" w:rsidRPr="009908E5" w:rsidTr="009908E5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-1,6%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-1,6%</w:t>
            </w:r>
          </w:p>
        </w:tc>
      </w:tr>
      <w:tr w:rsidR="009908E5" w:rsidRPr="009908E5" w:rsidTr="009908E5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920,4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13,5%</w:t>
            </w:r>
          </w:p>
        </w:tc>
      </w:tr>
      <w:tr w:rsidR="009908E5" w:rsidRPr="009908E5" w:rsidTr="009908E5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33,5%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33,5%</w:t>
            </w:r>
          </w:p>
        </w:tc>
      </w:tr>
      <w:tr w:rsidR="009908E5" w:rsidRPr="009908E5" w:rsidTr="009908E5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12,7%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12,7%</w:t>
            </w:r>
          </w:p>
        </w:tc>
      </w:tr>
      <w:tr w:rsidR="009908E5" w:rsidRPr="009908E5" w:rsidTr="009908E5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7,6%</w:t>
            </w:r>
          </w:p>
        </w:tc>
      </w:tr>
      <w:tr w:rsidR="009908E5" w:rsidRPr="009908E5" w:rsidTr="009908E5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7,6%</w:t>
            </w:r>
          </w:p>
        </w:tc>
      </w:tr>
      <w:tr w:rsidR="009908E5" w:rsidRPr="009908E5" w:rsidTr="009908E5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16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9908E5" w:rsidRPr="009908E5" w:rsidTr="009908E5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9908E5" w:rsidRPr="009908E5" w:rsidTr="009908E5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000 1 16 33000 00 0000 140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000 1 16 33050 10 0000 140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4 345,2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1 086,3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4 345,2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1 086,3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1 610,0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000 2 02 35118 00 0000 151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2 658,0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000 2 02 49999 10 0000 150,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664,5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30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6 146,2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1 414,2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23,0%</w:t>
            </w:r>
          </w:p>
        </w:tc>
      </w:tr>
    </w:tbl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/>
      </w:tblPr>
      <w:tblGrid>
        <w:gridCol w:w="1520"/>
        <w:gridCol w:w="6120"/>
        <w:gridCol w:w="1500"/>
        <w:gridCol w:w="1255"/>
        <w:gridCol w:w="1540"/>
      </w:tblGrid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E30"/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908E5" w:rsidRPr="009908E5" w:rsidTr="009908E5">
        <w:trPr>
          <w:trHeight w:val="10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отчета об исполнении бюджета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квартал 2019 года" 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8E5" w:rsidRPr="009908E5" w:rsidTr="009908E5">
        <w:trPr>
          <w:trHeight w:val="750"/>
        </w:trPr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I квартал 2019 года</w:t>
            </w:r>
          </w:p>
        </w:tc>
      </w:tr>
      <w:tr w:rsidR="009908E5" w:rsidRPr="009908E5" w:rsidTr="009908E5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9908E5" w:rsidRPr="009908E5" w:rsidTr="009908E5">
        <w:trPr>
          <w:trHeight w:val="76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на 01.04.2019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8E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2 704,2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38,7%</w:t>
            </w:r>
          </w:p>
        </w:tc>
      </w:tr>
      <w:tr w:rsidR="009908E5" w:rsidRPr="009908E5" w:rsidTr="009908E5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51,6%</w:t>
            </w:r>
          </w:p>
        </w:tc>
      </w:tr>
      <w:tr w:rsidR="009908E5" w:rsidRPr="009908E5" w:rsidTr="009908E5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1 579,4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34,9%</w:t>
            </w:r>
          </w:p>
        </w:tc>
      </w:tr>
      <w:tr w:rsidR="009908E5" w:rsidRPr="009908E5" w:rsidTr="009908E5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42,7%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22,0%</w:t>
            </w:r>
          </w:p>
        </w:tc>
      </w:tr>
      <w:tr w:rsidR="009908E5" w:rsidRPr="009908E5" w:rsidTr="009908E5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9908E5" w:rsidRPr="009908E5" w:rsidTr="009908E5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4,6%</w:t>
            </w:r>
          </w:p>
        </w:tc>
      </w:tr>
      <w:tr w:rsidR="009908E5" w:rsidRPr="009908E5" w:rsidTr="009908E5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Жилишное</w:t>
            </w:r>
            <w:proofErr w:type="spellEnd"/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24,7%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34,4%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1 281,1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484,3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37,8%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9908E5" w:rsidRPr="009908E5" w:rsidTr="009908E5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E5" w:rsidRPr="009908E5" w:rsidRDefault="009908E5" w:rsidP="0099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30,4%</w:t>
            </w:r>
          </w:p>
        </w:tc>
      </w:tr>
      <w:tr w:rsidR="009908E5" w:rsidRPr="009908E5" w:rsidTr="009908E5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E5" w:rsidRPr="009908E5" w:rsidRDefault="009908E5" w:rsidP="0099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25696" w:type="dxa"/>
        <w:tblInd w:w="93" w:type="dxa"/>
        <w:tblLook w:val="04A0"/>
      </w:tblPr>
      <w:tblGrid>
        <w:gridCol w:w="4727"/>
        <w:gridCol w:w="992"/>
        <w:gridCol w:w="851"/>
        <w:gridCol w:w="708"/>
        <w:gridCol w:w="851"/>
        <w:gridCol w:w="709"/>
        <w:gridCol w:w="1275"/>
        <w:gridCol w:w="1326"/>
        <w:gridCol w:w="1851"/>
        <w:gridCol w:w="6392"/>
        <w:gridCol w:w="576"/>
        <w:gridCol w:w="507"/>
        <w:gridCol w:w="507"/>
        <w:gridCol w:w="600"/>
        <w:gridCol w:w="576"/>
        <w:gridCol w:w="1298"/>
        <w:gridCol w:w="164"/>
        <w:gridCol w:w="1564"/>
        <w:gridCol w:w="222"/>
      </w:tblGrid>
      <w:tr w:rsidR="004727E8" w:rsidRPr="004727E8" w:rsidTr="004727E8">
        <w:trPr>
          <w:gridAfter w:val="3"/>
          <w:wAfter w:w="1952" w:type="dxa"/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I71"/>
            <w:bookmarkEnd w:id="5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4727E8" w:rsidRPr="004727E8" w:rsidTr="004727E8">
        <w:trPr>
          <w:gridAfter w:val="1"/>
          <w:wAfter w:w="222" w:type="dxa"/>
          <w:trHeight w:val="127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квартал 2019 года"</w:t>
            </w:r>
          </w:p>
        </w:tc>
      </w:tr>
      <w:tr w:rsidR="004727E8" w:rsidRPr="004727E8" w:rsidTr="004727E8">
        <w:trPr>
          <w:trHeight w:val="315"/>
        </w:trPr>
        <w:tc>
          <w:tcPr>
            <w:tcW w:w="19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7E8" w:rsidRPr="004727E8" w:rsidTr="004727E8">
        <w:trPr>
          <w:gridAfter w:val="10"/>
          <w:wAfter w:w="12406" w:type="dxa"/>
          <w:trHeight w:val="645"/>
        </w:trPr>
        <w:tc>
          <w:tcPr>
            <w:tcW w:w="1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I квартал 2019 года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727E8" w:rsidRPr="004727E8" w:rsidTr="004727E8">
        <w:trPr>
          <w:gridAfter w:val="10"/>
          <w:wAfter w:w="12406" w:type="dxa"/>
          <w:trHeight w:val="133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годовых назначений на 2019 год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 на 01.04.2019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годовых назначений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6 146,2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30,4%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2 704,2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38,7%</w:t>
            </w:r>
          </w:p>
        </w:tc>
      </w:tr>
      <w:tr w:rsidR="004727E8" w:rsidRPr="004727E8" w:rsidTr="004727E8">
        <w:trPr>
          <w:gridAfter w:val="10"/>
          <w:wAfter w:w="12406" w:type="dxa"/>
          <w:trHeight w:val="6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51,6%</w:t>
            </w:r>
          </w:p>
        </w:tc>
      </w:tr>
      <w:tr w:rsidR="004727E8" w:rsidRPr="004727E8" w:rsidTr="004727E8">
        <w:trPr>
          <w:gridAfter w:val="10"/>
          <w:wAfter w:w="12406" w:type="dxa"/>
          <w:trHeight w:val="9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12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51,6%</w:t>
            </w:r>
          </w:p>
        </w:tc>
      </w:tr>
      <w:tr w:rsidR="004727E8" w:rsidRPr="004727E8" w:rsidTr="004727E8">
        <w:trPr>
          <w:gridAfter w:val="10"/>
          <w:wAfter w:w="12406" w:type="dxa"/>
          <w:trHeight w:val="103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34,9%</w:t>
            </w:r>
          </w:p>
        </w:tc>
      </w:tr>
      <w:tr w:rsidR="004727E8" w:rsidRPr="004727E8" w:rsidTr="004727E8">
        <w:trPr>
          <w:gridAfter w:val="10"/>
          <w:wAfter w:w="12406" w:type="dxa"/>
          <w:trHeight w:val="9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12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4727E8" w:rsidRPr="004727E8" w:rsidTr="004727E8">
        <w:trPr>
          <w:gridAfter w:val="10"/>
          <w:wAfter w:w="12406" w:type="dxa"/>
          <w:trHeight w:val="6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833,9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28,7%</w:t>
            </w:r>
          </w:p>
        </w:tc>
      </w:tr>
      <w:tr w:rsidR="004727E8" w:rsidRPr="004727E8" w:rsidTr="004727E8">
        <w:trPr>
          <w:gridAfter w:val="10"/>
          <w:wAfter w:w="12406" w:type="dxa"/>
          <w:trHeight w:val="6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4727E8" w:rsidRPr="004727E8" w:rsidTr="004727E8">
        <w:trPr>
          <w:gridAfter w:val="10"/>
          <w:wAfter w:w="12406" w:type="dxa"/>
          <w:trHeight w:val="94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42,7%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государственной власти 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41,1%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30,2%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государственной власти 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12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6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24,7%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24,7%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12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13,1%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34,4%</w:t>
            </w:r>
          </w:p>
        </w:tc>
      </w:tr>
      <w:tr w:rsidR="004727E8" w:rsidRPr="004727E8" w:rsidTr="004727E8">
        <w:trPr>
          <w:gridAfter w:val="10"/>
          <w:wAfter w:w="12406" w:type="dxa"/>
          <w:trHeight w:val="6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12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11,7%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1 281,1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1 281,1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126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762,3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30,3%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15,1%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4727E8" w:rsidRPr="004727E8" w:rsidTr="004727E8">
        <w:trPr>
          <w:gridAfter w:val="10"/>
          <w:wAfter w:w="12406" w:type="dxa"/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муниципальных образований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4727E8" w:rsidRPr="004727E8" w:rsidTr="004727E8">
        <w:trPr>
          <w:gridAfter w:val="10"/>
          <w:wAfter w:w="12406" w:type="dxa"/>
          <w:trHeight w:val="315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6 146,2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30,4%</w:t>
            </w:r>
          </w:p>
        </w:tc>
      </w:tr>
    </w:tbl>
    <w:p w:rsidR="009908E5" w:rsidRDefault="009908E5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7E8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720" w:type="dxa"/>
        <w:tblInd w:w="93" w:type="dxa"/>
        <w:tblLook w:val="04A0"/>
      </w:tblPr>
      <w:tblGrid>
        <w:gridCol w:w="5400"/>
        <w:gridCol w:w="2980"/>
        <w:gridCol w:w="1920"/>
        <w:gridCol w:w="1720"/>
        <w:gridCol w:w="1700"/>
      </w:tblGrid>
      <w:tr w:rsidR="004727E8" w:rsidRPr="004727E8" w:rsidTr="004727E8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4727E8" w:rsidRPr="004727E8" w:rsidTr="004727E8">
        <w:trPr>
          <w:trHeight w:val="10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Светлоярского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за </w:t>
            </w:r>
            <w:r w:rsidRPr="00472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47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 2019 г."</w:t>
            </w:r>
          </w:p>
        </w:tc>
      </w:tr>
      <w:tr w:rsidR="004727E8" w:rsidRPr="004727E8" w:rsidTr="004727E8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7E8" w:rsidRPr="004727E8" w:rsidTr="004727E8">
        <w:trPr>
          <w:trHeight w:val="63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Цацинского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Pr="004727E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</w:t>
            </w: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2019 года</w:t>
            </w:r>
          </w:p>
        </w:tc>
      </w:tr>
      <w:tr w:rsidR="004727E8" w:rsidRPr="004727E8" w:rsidTr="004727E8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E8" w:rsidRPr="004727E8" w:rsidRDefault="004727E8" w:rsidP="0047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727E8" w:rsidRPr="004727E8" w:rsidTr="004727E8">
        <w:trPr>
          <w:trHeight w:val="52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2019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4727E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472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 плана</w:t>
            </w:r>
          </w:p>
        </w:tc>
      </w:tr>
      <w:tr w:rsidR="004727E8" w:rsidRPr="004727E8" w:rsidTr="004727E8">
        <w:trPr>
          <w:trHeight w:val="25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7E8" w:rsidRPr="004727E8" w:rsidTr="004727E8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7E8" w:rsidRPr="004727E8" w:rsidTr="004727E8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457,1</w:t>
            </w:r>
          </w:p>
        </w:tc>
      </w:tr>
      <w:tr w:rsidR="004727E8" w:rsidRPr="004727E8" w:rsidTr="004727E8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964 01 05 00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457,1</w:t>
            </w:r>
          </w:p>
        </w:tc>
      </w:tr>
      <w:tr w:rsidR="004727E8" w:rsidRPr="004727E8" w:rsidTr="004727E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964 01 05 02 00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-6 146,2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-1 433,4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4 712,8</w:t>
            </w:r>
          </w:p>
        </w:tc>
      </w:tr>
      <w:tr w:rsidR="004727E8" w:rsidRPr="004727E8" w:rsidTr="004727E8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964 01 05 02 00 </w:t>
            </w:r>
            <w:proofErr w:type="spellStart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6 146,2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1 890,5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E8" w:rsidRPr="004727E8" w:rsidRDefault="004727E8" w:rsidP="0047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E8">
              <w:rPr>
                <w:rFonts w:ascii="Times New Roman" w:eastAsia="Times New Roman" w:hAnsi="Times New Roman" w:cs="Times New Roman"/>
                <w:sz w:val="24"/>
                <w:szCs w:val="24"/>
              </w:rPr>
              <w:t>-4 255,7</w:t>
            </w:r>
          </w:p>
        </w:tc>
      </w:tr>
    </w:tbl>
    <w:p w:rsidR="004727E8" w:rsidRPr="00357DDF" w:rsidRDefault="004727E8" w:rsidP="0035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727E8" w:rsidRPr="00357DDF" w:rsidSect="009908E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0E" w:rsidRDefault="008D470E" w:rsidP="006263BF">
      <w:pPr>
        <w:spacing w:after="0" w:line="240" w:lineRule="auto"/>
      </w:pPr>
      <w:r>
        <w:separator/>
      </w:r>
    </w:p>
  </w:endnote>
  <w:endnote w:type="continuationSeparator" w:id="0">
    <w:p w:rsidR="008D470E" w:rsidRDefault="008D470E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0E" w:rsidRDefault="008D470E" w:rsidP="006263BF">
      <w:pPr>
        <w:spacing w:after="0" w:line="240" w:lineRule="auto"/>
      </w:pPr>
      <w:r>
        <w:separator/>
      </w:r>
    </w:p>
  </w:footnote>
  <w:footnote w:type="continuationSeparator" w:id="0">
    <w:p w:rsidR="008D470E" w:rsidRDefault="008D470E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0C9"/>
    <w:rsid w:val="0000680D"/>
    <w:rsid w:val="00007EDC"/>
    <w:rsid w:val="000503FC"/>
    <w:rsid w:val="00053736"/>
    <w:rsid w:val="00056978"/>
    <w:rsid w:val="0006278E"/>
    <w:rsid w:val="00082380"/>
    <w:rsid w:val="0008487A"/>
    <w:rsid w:val="000940D3"/>
    <w:rsid w:val="000B0C6C"/>
    <w:rsid w:val="000C655D"/>
    <w:rsid w:val="000E3B86"/>
    <w:rsid w:val="000E4E17"/>
    <w:rsid w:val="00106AB3"/>
    <w:rsid w:val="0013695A"/>
    <w:rsid w:val="00137DF0"/>
    <w:rsid w:val="00147AF1"/>
    <w:rsid w:val="00153536"/>
    <w:rsid w:val="0015769B"/>
    <w:rsid w:val="00160D0F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05B5"/>
    <w:rsid w:val="002911C8"/>
    <w:rsid w:val="002B3CCD"/>
    <w:rsid w:val="002B7D32"/>
    <w:rsid w:val="002D6B92"/>
    <w:rsid w:val="002F1A06"/>
    <w:rsid w:val="002F6EA3"/>
    <w:rsid w:val="00316C40"/>
    <w:rsid w:val="003320B6"/>
    <w:rsid w:val="003416F3"/>
    <w:rsid w:val="00357DDF"/>
    <w:rsid w:val="00385B9E"/>
    <w:rsid w:val="003B64E1"/>
    <w:rsid w:val="003D7D4E"/>
    <w:rsid w:val="003F683A"/>
    <w:rsid w:val="004153A9"/>
    <w:rsid w:val="00422AD9"/>
    <w:rsid w:val="00422BB2"/>
    <w:rsid w:val="004442A3"/>
    <w:rsid w:val="00454F7F"/>
    <w:rsid w:val="00464EDB"/>
    <w:rsid w:val="0047143C"/>
    <w:rsid w:val="004727E8"/>
    <w:rsid w:val="004927B2"/>
    <w:rsid w:val="004B3C1A"/>
    <w:rsid w:val="004B47C9"/>
    <w:rsid w:val="004D3CA8"/>
    <w:rsid w:val="004E0D8B"/>
    <w:rsid w:val="004F4B90"/>
    <w:rsid w:val="00541280"/>
    <w:rsid w:val="00556E35"/>
    <w:rsid w:val="00570FEB"/>
    <w:rsid w:val="00573EB7"/>
    <w:rsid w:val="00594560"/>
    <w:rsid w:val="005D0392"/>
    <w:rsid w:val="005E49DC"/>
    <w:rsid w:val="005E6C63"/>
    <w:rsid w:val="005F4DEC"/>
    <w:rsid w:val="00600AA7"/>
    <w:rsid w:val="00600C14"/>
    <w:rsid w:val="006166F5"/>
    <w:rsid w:val="00620EC2"/>
    <w:rsid w:val="006263BF"/>
    <w:rsid w:val="0063175E"/>
    <w:rsid w:val="00632409"/>
    <w:rsid w:val="006558C9"/>
    <w:rsid w:val="00665D68"/>
    <w:rsid w:val="00665E50"/>
    <w:rsid w:val="00676A9E"/>
    <w:rsid w:val="006814BC"/>
    <w:rsid w:val="0068411E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974"/>
    <w:rsid w:val="007F03C8"/>
    <w:rsid w:val="007F7936"/>
    <w:rsid w:val="00800733"/>
    <w:rsid w:val="00823555"/>
    <w:rsid w:val="008312D0"/>
    <w:rsid w:val="00836331"/>
    <w:rsid w:val="00842E6D"/>
    <w:rsid w:val="008B56F4"/>
    <w:rsid w:val="008D470E"/>
    <w:rsid w:val="008E1504"/>
    <w:rsid w:val="008E67DF"/>
    <w:rsid w:val="009005C7"/>
    <w:rsid w:val="00904C56"/>
    <w:rsid w:val="00927E8B"/>
    <w:rsid w:val="009339DD"/>
    <w:rsid w:val="009446FC"/>
    <w:rsid w:val="00945384"/>
    <w:rsid w:val="00956F8F"/>
    <w:rsid w:val="00961E8E"/>
    <w:rsid w:val="0096527C"/>
    <w:rsid w:val="009858B1"/>
    <w:rsid w:val="009908E5"/>
    <w:rsid w:val="009950C9"/>
    <w:rsid w:val="009A26AC"/>
    <w:rsid w:val="009C7BB2"/>
    <w:rsid w:val="009E4903"/>
    <w:rsid w:val="00A20576"/>
    <w:rsid w:val="00A339E9"/>
    <w:rsid w:val="00A43525"/>
    <w:rsid w:val="00A538B8"/>
    <w:rsid w:val="00A755C8"/>
    <w:rsid w:val="00A84AE7"/>
    <w:rsid w:val="00A877C9"/>
    <w:rsid w:val="00A90273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352C"/>
    <w:rsid w:val="00B53F80"/>
    <w:rsid w:val="00B81EB0"/>
    <w:rsid w:val="00B857DE"/>
    <w:rsid w:val="00B936F1"/>
    <w:rsid w:val="00BB3C98"/>
    <w:rsid w:val="00BD6AA9"/>
    <w:rsid w:val="00BE40E1"/>
    <w:rsid w:val="00BE5283"/>
    <w:rsid w:val="00C0534C"/>
    <w:rsid w:val="00C0630F"/>
    <w:rsid w:val="00C35020"/>
    <w:rsid w:val="00C63A42"/>
    <w:rsid w:val="00CC05AD"/>
    <w:rsid w:val="00CC3D6B"/>
    <w:rsid w:val="00CD04B2"/>
    <w:rsid w:val="00CD09DC"/>
    <w:rsid w:val="00CD0E2D"/>
    <w:rsid w:val="00CE4CFE"/>
    <w:rsid w:val="00CF29C6"/>
    <w:rsid w:val="00D01A3B"/>
    <w:rsid w:val="00D11C4C"/>
    <w:rsid w:val="00D25D24"/>
    <w:rsid w:val="00D33B16"/>
    <w:rsid w:val="00D349B2"/>
    <w:rsid w:val="00D34C94"/>
    <w:rsid w:val="00D60F2F"/>
    <w:rsid w:val="00D769D2"/>
    <w:rsid w:val="00D809B2"/>
    <w:rsid w:val="00D84E15"/>
    <w:rsid w:val="00D86A98"/>
    <w:rsid w:val="00D9001C"/>
    <w:rsid w:val="00D93993"/>
    <w:rsid w:val="00DA7B10"/>
    <w:rsid w:val="00DB1EC1"/>
    <w:rsid w:val="00DB7DA8"/>
    <w:rsid w:val="00DD1584"/>
    <w:rsid w:val="00DE17E5"/>
    <w:rsid w:val="00DE7A89"/>
    <w:rsid w:val="00DF55AF"/>
    <w:rsid w:val="00E05B4A"/>
    <w:rsid w:val="00E10761"/>
    <w:rsid w:val="00E16E2C"/>
    <w:rsid w:val="00E23186"/>
    <w:rsid w:val="00E24CCE"/>
    <w:rsid w:val="00E25A22"/>
    <w:rsid w:val="00E46DFD"/>
    <w:rsid w:val="00E64C76"/>
    <w:rsid w:val="00EB79FE"/>
    <w:rsid w:val="00EC3FEC"/>
    <w:rsid w:val="00EC433B"/>
    <w:rsid w:val="00ED3141"/>
    <w:rsid w:val="00EE61A1"/>
    <w:rsid w:val="00EE78F1"/>
    <w:rsid w:val="00EF504C"/>
    <w:rsid w:val="00F173F0"/>
    <w:rsid w:val="00F86198"/>
    <w:rsid w:val="00FE6DF2"/>
    <w:rsid w:val="00FF3936"/>
    <w:rsid w:val="00FF6553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3"/>
  </w:style>
  <w:style w:type="paragraph" w:styleId="2">
    <w:name w:val="heading 2"/>
    <w:basedOn w:val="a"/>
    <w:next w:val="a"/>
    <w:link w:val="20"/>
    <w:qFormat/>
    <w:rsid w:val="00357D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7DD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57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35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167166361159678"/>
          <c:y val="0.22581088654240822"/>
          <c:w val="0.79103482073135101"/>
          <c:h val="0.7291507916349167"/>
        </c:manualLayout>
      </c:layout>
      <c:pie3DChart>
        <c:varyColors val="1"/>
        <c:ser>
          <c:idx val="1"/>
          <c:order val="0"/>
          <c:explosion val="25"/>
          <c:dLbls>
            <c:dLbl>
              <c:idx val="0"/>
              <c:layout>
                <c:manualLayout>
                  <c:x val="3.7743745315187802E-2"/>
                  <c:y val="-0.2037033222077473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369113343590682"/>
                  <c:y val="-0.1919386680626377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147649108516607"/>
                  <c:y val="-2.59229249383888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6578119827058579E-2"/>
                  <c:y val="-1.212408374531987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730001562013411E-2"/>
                  <c:y val="-8.575162650154384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3.7864048069308669E-3"/>
                  <c:y val="-3.653776521218415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9.7803656547389345E-2"/>
                  <c:y val="-2.10147634765375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ru-RU" baseline="0"/>
                      <a:t>  неналоговые доходы</a:t>
                    </a:r>
                    <a:r>
                      <a:rPr lang="ru-RU"/>
                      <a:t>
1,5%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1588485767176165"/>
                  <c:y val="-8.5908371945237066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0.29216224458676426</c:v>
                </c:pt>
                <c:pt idx="1">
                  <c:v>0.25251601097895698</c:v>
                </c:pt>
                <c:pt idx="2">
                  <c:v>2.4397682220189083E-2</c:v>
                </c:pt>
                <c:pt idx="3">
                  <c:v>0.37389448002439796</c:v>
                </c:pt>
                <c:pt idx="4">
                  <c:v>1.1283928026837465E-2</c:v>
                </c:pt>
                <c:pt idx="5">
                  <c:v>4.574565416285449E-2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43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50"/>
      <c:rotY val="21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9978127734033262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spPr>
              <a:solidFill>
                <a:srgbClr val="00FFFF"/>
              </a:solidFill>
            </c:spPr>
          </c:dPt>
          <c:dPt>
            <c:idx val="1"/>
            <c:explosion val="19"/>
            <c:spPr>
              <a:solidFill>
                <a:srgbClr val="FF0000"/>
              </a:solidFill>
            </c:spPr>
          </c:dPt>
          <c:dPt>
            <c:idx val="2"/>
            <c:explosion val="53"/>
            <c:spPr>
              <a:solidFill>
                <a:srgbClr val="00B050"/>
              </a:solidFill>
            </c:spPr>
          </c:dPt>
          <c:dPt>
            <c:idx val="3"/>
            <c:explosion val="31"/>
            <c:spPr>
              <a:solidFill>
                <a:srgbClr val="FF66CC"/>
              </a:solidFill>
            </c:spPr>
          </c:dPt>
          <c:dPt>
            <c:idx val="4"/>
            <c:explosion val="5"/>
          </c:dPt>
          <c:dPt>
            <c:idx val="5"/>
            <c:explosion val="63"/>
            <c:spPr>
              <a:solidFill>
                <a:srgbClr val="FFFF00"/>
              </a:solidFill>
            </c:spPr>
          </c:dPt>
          <c:dPt>
            <c:idx val="6"/>
            <c:explosion val="0"/>
          </c:dPt>
          <c:dPt>
            <c:idx val="7"/>
            <c:explosion val="15"/>
          </c:dPt>
          <c:dLbls>
            <c:dLbl>
              <c:idx val="0"/>
              <c:layout>
                <c:manualLayout>
                  <c:x val="-5.2360085383040267E-2"/>
                  <c:y val="5.88127637029324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55,9 %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9105949611868081"/>
                  <c:y val="-7.43306959976175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1,7 %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8.7930857466511983E-2"/>
                  <c:y val="-3.9239777811128284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Образование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14,0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9.5482743868298678E-2"/>
                  <c:y val="-4.1563401017625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0,8 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0.17945785131482733"/>
                  <c:y val="-4.18200748889265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</a:t>
                    </a:r>
                    <a:endParaRPr lang="ru-RU" baseline="0"/>
                  </a:p>
                  <a:p>
                    <a:r>
                      <a:rPr lang="ru-RU" baseline="0"/>
                      <a:t>25,9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0.12619046459086788"/>
                  <c:y val="-8.91336251654472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1,7 %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5.3343047138010594E-2"/>
                  <c:y val="9.24996327927134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11,6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0.21028197539121229"/>
                  <c:y val="2.91400685797736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0,7 %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6.4756773567366574E-2"/>
                  <c:y val="5.0792555667681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</a:t>
                    </a:r>
                    <a:r>
                      <a:rPr lang="ru-RU" baseline="0"/>
                      <a:t> культура 0,5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21670106886335391"/>
                  <c:y val="6.7759484140689399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Лист1!$B$42:$B$47</c:f>
              <c:strCache>
                <c:ptCount val="6"/>
                <c:pt idx="0">
                  <c:v>Общегосударственные вопросы</c:v>
                </c:pt>
                <c:pt idx="1">
                  <c:v>ЖКХ</c:v>
                </c:pt>
                <c:pt idx="2">
                  <c:v>Образование</c:v>
                </c:pt>
                <c:pt idx="3">
                  <c:v>Национальная оборона</c:v>
                </c:pt>
                <c:pt idx="4">
                  <c:v>Культура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Лист1!$D$42:$D$47</c:f>
              <c:numCache>
                <c:formatCode>0.0%</c:formatCode>
                <c:ptCount val="6"/>
                <c:pt idx="0">
                  <c:v>0.55880938385079892</c:v>
                </c:pt>
                <c:pt idx="1">
                  <c:v>1.7100411478651205E-2</c:v>
                </c:pt>
                <c:pt idx="2">
                  <c:v>0.1398493026238444</c:v>
                </c:pt>
                <c:pt idx="3">
                  <c:v>8.6036445251964026E-3</c:v>
                </c:pt>
                <c:pt idx="4">
                  <c:v>0.25880403997221207</c:v>
                </c:pt>
                <c:pt idx="5">
                  <c:v>1.6833217549297282E-2</c:v>
                </c:pt>
              </c:numCache>
            </c:numRef>
          </c:val>
        </c:ser>
      </c:pie3DChart>
    </c:plotArea>
    <c:plotVisOnly val="1"/>
    <c:dispBlanksAs val="zero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0"/>
      <c:rotY val="180"/>
      <c:perspective val="30"/>
    </c:view3D>
    <c:plotArea>
      <c:layout>
        <c:manualLayout>
          <c:layoutTarget val="inner"/>
          <c:xMode val="edge"/>
          <c:yMode val="edge"/>
          <c:x val="4.1060975472249607E-2"/>
          <c:y val="1.6281001480472193E-2"/>
          <c:w val="0.95893898684556678"/>
          <c:h val="0.9837192102955636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explosion val="45"/>
            <c:spPr>
              <a:solidFill>
                <a:srgbClr val="00B0F0"/>
              </a:solidFill>
            </c:spPr>
          </c:dPt>
          <c:dPt>
            <c:idx val="2"/>
            <c:explosion val="39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explosion val="31"/>
            <c:spPr>
              <a:solidFill>
                <a:srgbClr val="FF66FF"/>
              </a:solidFill>
            </c:spPr>
          </c:dPt>
          <c:dLbls>
            <c:dLbl>
              <c:idx val="0"/>
              <c:layout>
                <c:manualLayout>
                  <c:x val="-0.10557531115062237"/>
                  <c:y val="0.11690535043255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на соц. страхование </a:t>
                    </a:r>
                  </a:p>
                  <a:p>
                    <a:r>
                      <a:rPr lang="ru-RU"/>
                      <a:t>59,1 </a:t>
                    </a:r>
                    <a:r>
                      <a:rPr lang="ru-RU" baseline="0"/>
                      <a:t>%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0.1327639488612312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0,6 %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7.0025646995738433E-2"/>
                  <c:y val="6.53980767305993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25,8 %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.14999453193350831"/>
                  <c:y val="-0.171146976413198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4,9 %</a:t>
                    </a:r>
                  </a:p>
                </c:rich>
              </c:tx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1501933226088675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9,6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eparator> </c:separator>
            </c:dLbl>
            <c:dLbl>
              <c:idx val="5"/>
              <c:layout>
                <c:manualLayout>
                  <c:x val="-0.12996540815813859"/>
                  <c:y val="5.44529326346361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 7,4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eparator> </c:separator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Лист4!$A$3:$A$7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Иные бюджетные ассигнования</c:v>
                </c:pt>
                <c:pt idx="2">
                  <c:v>Закупка для муниципальных нужд</c:v>
                </c:pt>
                <c:pt idx="3">
                  <c:v>Социальные выплаты населению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Лист4!$C$3:$C$7</c:f>
              <c:numCache>
                <c:formatCode>0.0%</c:formatCode>
                <c:ptCount val="5"/>
                <c:pt idx="0">
                  <c:v>0.59071233901565678</c:v>
                </c:pt>
                <c:pt idx="1">
                  <c:v>6.4126543044942079E-3</c:v>
                </c:pt>
                <c:pt idx="2">
                  <c:v>0.2579490193982793</c:v>
                </c:pt>
                <c:pt idx="3">
                  <c:v>4.9056805429380672E-2</c:v>
                </c:pt>
                <c:pt idx="4">
                  <c:v>9.5869181852188248E-2</c:v>
                </c:pt>
              </c:numCache>
            </c:numRef>
          </c:val>
        </c:ser>
      </c:pie3DChart>
      <c:spPr>
        <a:noFill/>
        <a:ln w="25365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Владелец</cp:lastModifiedBy>
  <cp:revision>35</cp:revision>
  <cp:lastPrinted>2019-05-06T08:59:00Z</cp:lastPrinted>
  <dcterms:created xsi:type="dcterms:W3CDTF">2017-04-18T06:45:00Z</dcterms:created>
  <dcterms:modified xsi:type="dcterms:W3CDTF">2019-05-06T09:26:00Z</dcterms:modified>
</cp:coreProperties>
</file>